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927D4A">
      <w:pPr>
        <w:pStyle w:val="4"/>
        <w:keepNext w:val="0"/>
        <w:keepLines w:val="0"/>
        <w:pageBreakBefore w:val="0"/>
        <w:widowControl w:val="0"/>
        <w:kinsoku/>
        <w:wordWrap/>
        <w:overflowPunct/>
        <w:topLinePunct w:val="0"/>
        <w:autoSpaceDE/>
        <w:autoSpaceDN/>
        <w:bidi w:val="0"/>
        <w:adjustRightInd/>
        <w:snapToGrid/>
        <w:spacing w:afterLines="0" w:line="606" w:lineRule="exact"/>
        <w:ind w:left="0" w:leftChars="0" w:firstLine="0" w:firstLineChars="0"/>
        <w:jc w:val="both"/>
        <w:textAlignment w:val="auto"/>
        <w:rPr>
          <w:rFonts w:hint="eastAsia" w:ascii="宋体" w:hAnsi="宋体" w:eastAsia="黑体" w:cs="黑体"/>
          <w:color w:val="0C0C0C"/>
          <w:sz w:val="32"/>
          <w:szCs w:val="32"/>
          <w:lang w:val="en-US" w:eastAsia="zh-CN"/>
        </w:rPr>
      </w:pPr>
      <w:r>
        <w:rPr>
          <w:rFonts w:hint="eastAsia" w:ascii="宋体" w:hAnsi="宋体" w:eastAsia="方正黑体_GBK" w:cs="方正黑体_GBK"/>
          <w:color w:val="0C0C0C"/>
          <w:sz w:val="32"/>
          <w:szCs w:val="32"/>
          <w:lang w:eastAsia="zh-CN"/>
        </w:rPr>
        <w:t>附件</w:t>
      </w:r>
    </w:p>
    <w:p w14:paraId="06FF3A33">
      <w:pPr>
        <w:spacing w:before="2000"/>
        <w:jc w:val="center"/>
        <w:rPr>
          <w:rFonts w:ascii="方正小标宋简体" w:hAnsi="方正小标宋简体" w:eastAsia="方正小标宋简体" w:cs="方正小标宋简体"/>
          <w:color w:val="auto"/>
          <w:sz w:val="44"/>
          <w:szCs w:val="44"/>
          <w:lang w:eastAsia="zh-CN"/>
        </w:rPr>
      </w:pPr>
      <w:bookmarkStart w:id="0" w:name="_GoBack"/>
      <w:r>
        <w:rPr>
          <w:rFonts w:hint="eastAsia" w:ascii="方正小标宋简体" w:hAnsi="方正小标宋简体" w:eastAsia="方正小标宋简体" w:cs="方正小标宋简体"/>
          <w:bCs/>
          <w:color w:val="auto"/>
          <w:sz w:val="44"/>
          <w:szCs w:val="44"/>
          <w:lang w:eastAsia="zh-CN"/>
        </w:rPr>
        <w:t>云南省“十五五”养老服务体系建设规划</w:t>
      </w:r>
      <w:bookmarkEnd w:id="0"/>
    </w:p>
    <w:p w14:paraId="4E582E26">
      <w:pPr>
        <w:spacing w:before="320"/>
        <w:jc w:val="center"/>
        <w:rPr>
          <w:rFonts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w:t>
      </w:r>
      <w:r>
        <w:rPr>
          <w:rFonts w:hint="eastAsia" w:ascii="Times New Roman" w:hAnsi="Times New Roman" w:eastAsia="仿宋_GB2312" w:cs="仿宋_GB2312"/>
          <w:color w:val="auto"/>
          <w:sz w:val="32"/>
          <w:szCs w:val="32"/>
          <w:lang w:eastAsia="zh-CN"/>
        </w:rPr>
        <w:t>2026</w:t>
      </w:r>
      <w:r>
        <w:rPr>
          <w:rFonts w:hint="eastAsia" w:ascii="仿宋_GB2312" w:hAnsi="仿宋_GB2312" w:eastAsia="仿宋_GB2312" w:cs="仿宋_GB2312"/>
          <w:color w:val="auto"/>
          <w:sz w:val="32"/>
          <w:szCs w:val="32"/>
          <w:lang w:eastAsia="zh-CN"/>
        </w:rPr>
        <w:t>-</w:t>
      </w:r>
      <w:r>
        <w:rPr>
          <w:rFonts w:hint="eastAsia" w:ascii="Times New Roman" w:hAnsi="Times New Roman" w:eastAsia="仿宋_GB2312" w:cs="仿宋_GB2312"/>
          <w:color w:val="auto"/>
          <w:sz w:val="32"/>
          <w:szCs w:val="32"/>
          <w:lang w:eastAsia="zh-CN"/>
        </w:rPr>
        <w:t>2030</w:t>
      </w:r>
      <w:r>
        <w:rPr>
          <w:rFonts w:hint="eastAsia" w:ascii="仿宋_GB2312" w:hAnsi="仿宋_GB2312" w:eastAsia="仿宋_GB2312" w:cs="仿宋_GB2312"/>
          <w:color w:val="auto"/>
          <w:sz w:val="32"/>
          <w:szCs w:val="32"/>
          <w:lang w:eastAsia="zh-CN"/>
        </w:rPr>
        <w:t>年）</w:t>
      </w:r>
      <w:r>
        <w:rPr>
          <w:rFonts w:hint="eastAsia" w:ascii="仿宋_GB2312" w:hAnsi="仿宋_GB2312" w:eastAsia="仿宋_GB2312" w:cs="仿宋_GB2312"/>
          <w:color w:val="auto"/>
          <w:sz w:val="32"/>
          <w:szCs w:val="32"/>
          <w:lang w:eastAsia="zh-CN"/>
        </w:rPr>
        <w:br w:type="textWrapping"/>
      </w:r>
      <w:r>
        <w:rPr>
          <w:rFonts w:hint="eastAsia" w:ascii="仿宋_GB2312" w:hAnsi="仿宋_GB2312" w:eastAsia="仿宋_GB2312" w:cs="仿宋_GB2312"/>
          <w:color w:val="auto"/>
          <w:sz w:val="32"/>
          <w:szCs w:val="32"/>
          <w:lang w:eastAsia="zh-CN"/>
        </w:rPr>
        <w:t>（征求意见稿）</w:t>
      </w:r>
    </w:p>
    <w:p w14:paraId="37D3C744">
      <w:pPr>
        <w:spacing w:before="5200"/>
        <w:jc w:val="center"/>
        <w:rPr>
          <w:rFonts w:ascii="仿宋_GB2312" w:hAnsi="仿宋_GB2312" w:eastAsia="仿宋_GB2312" w:cs="仿宋_GB2312"/>
          <w:color w:val="auto"/>
          <w:sz w:val="32"/>
          <w:szCs w:val="32"/>
          <w:lang w:eastAsia="zh-CN"/>
        </w:rPr>
      </w:pPr>
      <w:r>
        <w:rPr>
          <w:rFonts w:hint="eastAsia" w:ascii="Times New Roman" w:hAnsi="Times New Roman" w:eastAsia="仿宋_GB2312" w:cs="仿宋_GB2312"/>
          <w:color w:val="auto"/>
          <w:sz w:val="32"/>
          <w:szCs w:val="32"/>
          <w:lang w:eastAsia="zh-CN"/>
        </w:rPr>
        <w:t>2026</w:t>
      </w:r>
      <w:r>
        <w:rPr>
          <w:rFonts w:hint="eastAsia" w:ascii="仿宋_GB2312" w:hAnsi="仿宋_GB2312" w:eastAsia="仿宋_GB2312" w:cs="仿宋_GB2312"/>
          <w:color w:val="auto"/>
          <w:sz w:val="32"/>
          <w:szCs w:val="32"/>
          <w:lang w:eastAsia="zh-CN"/>
        </w:rPr>
        <w:t>年</w:t>
      </w:r>
      <w:r>
        <w:rPr>
          <w:rFonts w:hint="eastAsia" w:ascii="Times New Roman" w:hAnsi="Times New Roman" w:eastAsia="仿宋_GB2312" w:cs="仿宋_GB2312"/>
          <w:color w:val="auto"/>
          <w:sz w:val="32"/>
          <w:szCs w:val="32"/>
          <w:lang w:eastAsia="zh-CN"/>
        </w:rPr>
        <w:t>8</w:t>
      </w:r>
      <w:r>
        <w:rPr>
          <w:rFonts w:hint="eastAsia" w:ascii="仿宋_GB2312" w:hAnsi="仿宋_GB2312" w:eastAsia="仿宋_GB2312" w:cs="仿宋_GB2312"/>
          <w:color w:val="auto"/>
          <w:sz w:val="32"/>
          <w:szCs w:val="32"/>
          <w:lang w:eastAsia="zh-CN"/>
        </w:rPr>
        <w:t>月</w:t>
      </w:r>
    </w:p>
    <w:p w14:paraId="0DB16020">
      <w:pPr>
        <w:rPr>
          <w:rFonts w:ascii="仿宋_GB2312" w:hAnsi="仿宋_GB2312" w:eastAsia="仿宋_GB2312" w:cs="仿宋_GB2312"/>
          <w:color w:val="auto"/>
          <w:sz w:val="32"/>
          <w:szCs w:val="32"/>
          <w:lang w:eastAsia="zh-CN"/>
        </w:rPr>
      </w:pPr>
      <w:r>
        <w:rPr>
          <w:rFonts w:ascii="Times New Roman" w:hAnsi="Times New Roman" w:eastAsia="宋体" w:cs="Times New Roman"/>
          <w:color w:val="auto"/>
          <w:lang w:eastAsia="zh-CN"/>
        </w:rPr>
        <w:br w:type="page"/>
      </w:r>
      <w:r>
        <w:rPr>
          <w:rFonts w:hint="eastAsia" w:ascii="Times New Roman" w:hAnsi="Times New Roman" w:cs="Times New Roman"/>
          <w:color w:val="auto"/>
          <w:lang w:val="en-US" w:eastAsia="zh-CN"/>
        </w:rPr>
        <w:t xml:space="preserve">     </w:t>
      </w:r>
      <w:r>
        <w:rPr>
          <w:rFonts w:hint="eastAsia" w:ascii="仿宋_GB2312" w:hAnsi="仿宋_GB2312" w:eastAsia="仿宋_GB2312" w:cs="仿宋_GB2312"/>
          <w:color w:val="auto"/>
          <w:sz w:val="32"/>
          <w:szCs w:val="32"/>
          <w:lang w:eastAsia="zh-CN"/>
        </w:rPr>
        <w:t>按照国家关于发展养老服务、健全基本养老服务体系有关部署要求，依据《云南省国民经济和社会发展第十五个五年规划纲要》，编制本规划。</w:t>
      </w:r>
    </w:p>
    <w:p w14:paraId="6592CE17">
      <w:pPr>
        <w:spacing w:line="576" w:lineRule="exact"/>
        <w:ind w:firstLine="640" w:firstLineChars="200"/>
        <w:rPr>
          <w:rFonts w:ascii="仿宋_GB2312" w:hAnsi="仿宋_GB2312" w:eastAsia="仿宋_GB2312" w:cs="仿宋_GB2312"/>
          <w:color w:val="auto"/>
          <w:sz w:val="32"/>
          <w:szCs w:val="32"/>
          <w:lang w:eastAsia="zh-CN"/>
        </w:rPr>
      </w:pPr>
      <w:r>
        <w:rPr>
          <w:rFonts w:hint="eastAsia" w:ascii="黑体" w:hAnsi="黑体" w:eastAsia="黑体" w:cs="黑体"/>
          <w:color w:val="auto"/>
          <w:sz w:val="32"/>
          <w:szCs w:val="32"/>
          <w:lang w:eastAsia="zh-CN"/>
        </w:rPr>
        <w:t>一、工作目标</w:t>
      </w:r>
    </w:p>
    <w:p w14:paraId="53B95107">
      <w:pPr>
        <w:spacing w:line="576" w:lineRule="exact"/>
        <w:ind w:firstLine="640" w:firstLineChars="200"/>
        <w:rPr>
          <w:rFonts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以习近平新时代中国特色社会主义思想为指导，全面贯彻党的二十大和二十届历次全会精神，深入贯彻习近平总书记关于老龄工作的重要论述、重要讲话精神，深入实施积极应对人口老龄化国家战略，坚持以人民为中心，坚持尽力而为、量力而行，以推动养老服务高质量发展为主题，以健全覆盖城乡、分级分类、普惠可及、运行可持续的养老服务体系为主线，以失能老年人照护为重点，巩固居家养老基础作用，强化社区养老依托作用，优化机构养老专业支撑作用，促进医养结合，推动养老事业和养老产业协同发展，不断增强老年人的获得感、幸福感、安全感。</w:t>
      </w:r>
    </w:p>
    <w:p w14:paraId="434E935C">
      <w:pPr>
        <w:spacing w:line="576" w:lineRule="exact"/>
        <w:ind w:firstLine="640" w:firstLineChars="200"/>
        <w:rPr>
          <w:rFonts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到</w:t>
      </w:r>
      <w:r>
        <w:rPr>
          <w:rFonts w:hint="eastAsia" w:ascii="Times New Roman" w:hAnsi="Times New Roman" w:eastAsia="仿宋_GB2312" w:cs="仿宋_GB2312"/>
          <w:color w:val="auto"/>
          <w:sz w:val="32"/>
          <w:szCs w:val="32"/>
          <w:lang w:eastAsia="zh-CN"/>
        </w:rPr>
        <w:t>2030</w:t>
      </w:r>
      <w:r>
        <w:rPr>
          <w:rFonts w:hint="eastAsia" w:ascii="仿宋_GB2312" w:hAnsi="仿宋_GB2312" w:eastAsia="仿宋_GB2312" w:cs="仿宋_GB2312"/>
          <w:color w:val="auto"/>
          <w:sz w:val="32"/>
          <w:szCs w:val="32"/>
          <w:lang w:eastAsia="zh-CN"/>
        </w:rPr>
        <w:t>年，基本养老服务政策制度更加完善，全省城乡三级养老服务网络基本建成，基本养老服务质量显著提升，普惠养老服务供给有力增强，居家、社区、机构、医养结合的多元化养老服务格局更加成熟，农村养老服务短板加快补齐，失能失智老年人专业照护能力明显增强，养老服务人才、数字化、标准化和安全监管支撑更加有力，养老事业和养老产业协调发展取得新成效，老年友好环境进一步提升，老年人权益得到有力保障，形成覆盖城乡、布局合理、功能完善、普惠可及、运行稳定、监管有力的养老服务体系，推动我省养老服务持续扩容提质增效。</w:t>
      </w:r>
    </w:p>
    <w:p w14:paraId="34BD38A8">
      <w:pPr>
        <w:spacing w:before="120" w:after="80" w:line="360" w:lineRule="auto"/>
        <w:ind w:firstLine="0"/>
        <w:jc w:val="center"/>
        <w:rPr>
          <w:rFonts w:ascii="黑体" w:hAnsi="黑体" w:eastAsia="黑体" w:cs="黑体"/>
          <w:bCs/>
          <w:color w:val="auto"/>
          <w:sz w:val="28"/>
          <w:szCs w:val="28"/>
          <w:lang w:eastAsia="zh-CN"/>
        </w:rPr>
      </w:pPr>
      <w:r>
        <w:rPr>
          <w:rFonts w:hint="eastAsia" w:ascii="黑体" w:hAnsi="黑体" w:eastAsia="黑体" w:cs="黑体"/>
          <w:bCs/>
          <w:color w:val="auto"/>
          <w:sz w:val="28"/>
          <w:szCs w:val="28"/>
          <w:lang w:eastAsia="zh-CN"/>
        </w:rPr>
        <w:t>云南省“十五五”养老服务体系建设主要指标</w:t>
      </w:r>
    </w:p>
    <w:tbl>
      <w:tblPr>
        <w:tblStyle w:val="5"/>
        <w:tblpPr w:leftFromText="180" w:rightFromText="180" w:vertAnchor="text" w:tblpXSpec="center" w:tblpY="1"/>
        <w:tblOverlap w:val="never"/>
        <w:tblW w:w="8960" w:type="dxa"/>
        <w:jc w:val="center"/>
        <w:tblBorders>
          <w:top w:val="single" w:color="7A8793" w:sz="4" w:space="0"/>
          <w:left w:val="single" w:color="7A8793" w:sz="4" w:space="0"/>
          <w:bottom w:val="single" w:color="7A8793" w:sz="4" w:space="0"/>
          <w:right w:val="single" w:color="7A8793" w:sz="4" w:space="0"/>
          <w:insideH w:val="single" w:color="7A8793" w:sz="4" w:space="0"/>
          <w:insideV w:val="single" w:color="7A8793" w:sz="4" w:space="0"/>
        </w:tblBorders>
        <w:tblLayout w:type="autofit"/>
        <w:tblCellMar>
          <w:top w:w="0" w:type="dxa"/>
          <w:left w:w="108" w:type="dxa"/>
          <w:bottom w:w="0" w:type="dxa"/>
          <w:right w:w="108" w:type="dxa"/>
        </w:tblCellMar>
      </w:tblPr>
      <w:tblGrid>
        <w:gridCol w:w="4484"/>
        <w:gridCol w:w="1476"/>
        <w:gridCol w:w="1584"/>
        <w:gridCol w:w="1416"/>
      </w:tblGrid>
      <w:tr w14:paraId="71959217">
        <w:tblPrEx>
          <w:tblBorders>
            <w:top w:val="single" w:color="7A8793" w:sz="4" w:space="0"/>
            <w:left w:val="single" w:color="7A8793" w:sz="4" w:space="0"/>
            <w:bottom w:val="single" w:color="7A8793" w:sz="4" w:space="0"/>
            <w:right w:val="single" w:color="7A8793" w:sz="4" w:space="0"/>
            <w:insideH w:val="single" w:color="7A8793" w:sz="4" w:space="0"/>
            <w:insideV w:val="single" w:color="7A8793" w:sz="4" w:space="0"/>
          </w:tblBorders>
          <w:tblCellMar>
            <w:top w:w="0" w:type="dxa"/>
            <w:left w:w="108" w:type="dxa"/>
            <w:bottom w:w="0" w:type="dxa"/>
            <w:right w:w="108" w:type="dxa"/>
          </w:tblCellMar>
        </w:tblPrEx>
        <w:trPr>
          <w:tblHeader/>
          <w:jc w:val="center"/>
        </w:trPr>
        <w:tc>
          <w:tcPr>
            <w:tcW w:w="4484" w:type="dxa"/>
            <w:tcBorders>
              <w:top w:val="single" w:color="000000" w:sz="6" w:space="0"/>
              <w:left w:val="single" w:color="000000" w:sz="6" w:space="0"/>
              <w:bottom w:val="single" w:color="999999" w:sz="6" w:space="0"/>
              <w:right w:val="single" w:color="999999" w:sz="6" w:space="0"/>
            </w:tcBorders>
            <w:noWrap w:val="0"/>
            <w:tcMar>
              <w:top w:w="100" w:type="dxa"/>
              <w:left w:w="120" w:type="dxa"/>
              <w:bottom w:w="100" w:type="dxa"/>
              <w:right w:w="120" w:type="dxa"/>
            </w:tcMar>
            <w:vAlign w:val="center"/>
          </w:tcPr>
          <w:p w14:paraId="1A47F5E0">
            <w:pPr>
              <w:adjustRightInd w:val="0"/>
              <w:snapToGrid w:val="0"/>
              <w:spacing w:line="360" w:lineRule="auto"/>
              <w:ind w:firstLine="0"/>
              <w:jc w:val="center"/>
              <w:rPr>
                <w:rFonts w:ascii="黑体" w:hAnsi="黑体" w:eastAsia="黑体" w:cs="黑体"/>
                <w:color w:val="auto"/>
                <w:sz w:val="24"/>
                <w:szCs w:val="24"/>
              </w:rPr>
            </w:pPr>
            <w:r>
              <w:rPr>
                <w:rFonts w:hint="eastAsia" w:ascii="黑体" w:hAnsi="黑体" w:eastAsia="黑体" w:cs="黑体"/>
                <w:color w:val="auto"/>
                <w:sz w:val="24"/>
                <w:szCs w:val="24"/>
              </w:rPr>
              <w:t>指标</w:t>
            </w:r>
          </w:p>
        </w:tc>
        <w:tc>
          <w:tcPr>
            <w:tcW w:w="1476" w:type="dxa"/>
            <w:tcBorders>
              <w:top w:val="single" w:color="000000" w:sz="6" w:space="0"/>
              <w:left w:val="single" w:color="999999" w:sz="6" w:space="0"/>
              <w:bottom w:val="single" w:color="999999" w:sz="6" w:space="0"/>
              <w:right w:val="single" w:color="999999" w:sz="6" w:space="0"/>
            </w:tcBorders>
            <w:noWrap w:val="0"/>
            <w:tcMar>
              <w:top w:w="100" w:type="dxa"/>
              <w:left w:w="120" w:type="dxa"/>
              <w:bottom w:w="100" w:type="dxa"/>
              <w:right w:w="120" w:type="dxa"/>
            </w:tcMar>
            <w:vAlign w:val="center"/>
          </w:tcPr>
          <w:p w14:paraId="5EBFD601">
            <w:pPr>
              <w:adjustRightInd w:val="0"/>
              <w:snapToGrid w:val="0"/>
              <w:spacing w:line="360" w:lineRule="auto"/>
              <w:ind w:firstLine="0"/>
              <w:jc w:val="center"/>
              <w:rPr>
                <w:rFonts w:ascii="黑体" w:hAnsi="黑体" w:eastAsia="黑体" w:cs="黑体"/>
                <w:color w:val="auto"/>
                <w:sz w:val="24"/>
                <w:szCs w:val="24"/>
              </w:rPr>
            </w:pPr>
            <w:r>
              <w:rPr>
                <w:rFonts w:hint="eastAsia" w:ascii="Times New Roman" w:hAnsi="Times New Roman" w:eastAsia="黑体" w:cs="黑体"/>
                <w:color w:val="auto"/>
                <w:sz w:val="24"/>
                <w:szCs w:val="24"/>
              </w:rPr>
              <w:t>2025</w:t>
            </w:r>
            <w:r>
              <w:rPr>
                <w:rFonts w:hint="eastAsia" w:ascii="黑体" w:hAnsi="黑体" w:eastAsia="黑体" w:cs="黑体"/>
                <w:color w:val="auto"/>
                <w:sz w:val="24"/>
                <w:szCs w:val="24"/>
              </w:rPr>
              <w:t>年</w:t>
            </w:r>
          </w:p>
          <w:p w14:paraId="4B8E7486">
            <w:pPr>
              <w:adjustRightInd w:val="0"/>
              <w:snapToGrid w:val="0"/>
              <w:spacing w:line="360" w:lineRule="auto"/>
              <w:ind w:firstLine="0"/>
              <w:jc w:val="center"/>
              <w:rPr>
                <w:rFonts w:ascii="黑体" w:hAnsi="黑体" w:eastAsia="黑体" w:cs="黑体"/>
                <w:color w:val="auto"/>
                <w:sz w:val="24"/>
                <w:szCs w:val="24"/>
              </w:rPr>
            </w:pPr>
            <w:r>
              <w:rPr>
                <w:rFonts w:hint="eastAsia" w:ascii="黑体" w:hAnsi="黑体" w:eastAsia="黑体" w:cs="黑体"/>
                <w:color w:val="auto"/>
                <w:sz w:val="24"/>
                <w:szCs w:val="24"/>
              </w:rPr>
              <w:t>基期值</w:t>
            </w:r>
          </w:p>
        </w:tc>
        <w:tc>
          <w:tcPr>
            <w:tcW w:w="1584" w:type="dxa"/>
            <w:tcBorders>
              <w:top w:val="single" w:color="000000" w:sz="6" w:space="0"/>
              <w:left w:val="single" w:color="999999" w:sz="6" w:space="0"/>
              <w:bottom w:val="single" w:color="999999" w:sz="6" w:space="0"/>
              <w:right w:val="single" w:color="999999" w:sz="6" w:space="0"/>
            </w:tcBorders>
            <w:noWrap w:val="0"/>
            <w:tcMar>
              <w:top w:w="100" w:type="dxa"/>
              <w:left w:w="120" w:type="dxa"/>
              <w:bottom w:w="100" w:type="dxa"/>
              <w:right w:w="120" w:type="dxa"/>
            </w:tcMar>
            <w:vAlign w:val="center"/>
          </w:tcPr>
          <w:p w14:paraId="0B0B2975">
            <w:pPr>
              <w:adjustRightInd w:val="0"/>
              <w:snapToGrid w:val="0"/>
              <w:spacing w:line="360" w:lineRule="auto"/>
              <w:ind w:firstLine="0"/>
              <w:jc w:val="center"/>
              <w:rPr>
                <w:rFonts w:ascii="黑体" w:hAnsi="黑体" w:eastAsia="黑体" w:cs="黑体"/>
                <w:color w:val="auto"/>
                <w:sz w:val="24"/>
                <w:szCs w:val="24"/>
              </w:rPr>
            </w:pPr>
            <w:r>
              <w:rPr>
                <w:rFonts w:hint="eastAsia" w:ascii="Times New Roman" w:hAnsi="Times New Roman" w:eastAsia="黑体" w:cs="黑体"/>
                <w:color w:val="auto"/>
                <w:sz w:val="24"/>
                <w:szCs w:val="24"/>
              </w:rPr>
              <w:t>2030</w:t>
            </w:r>
            <w:r>
              <w:rPr>
                <w:rFonts w:hint="eastAsia" w:ascii="黑体" w:hAnsi="黑体" w:eastAsia="黑体" w:cs="黑体"/>
                <w:color w:val="auto"/>
                <w:sz w:val="24"/>
                <w:szCs w:val="24"/>
              </w:rPr>
              <w:t>年</w:t>
            </w:r>
          </w:p>
          <w:p w14:paraId="7A490B8D">
            <w:pPr>
              <w:adjustRightInd w:val="0"/>
              <w:snapToGrid w:val="0"/>
              <w:spacing w:line="360" w:lineRule="auto"/>
              <w:ind w:firstLine="0"/>
              <w:jc w:val="center"/>
              <w:rPr>
                <w:rFonts w:ascii="黑体" w:hAnsi="黑体" w:eastAsia="黑体" w:cs="黑体"/>
                <w:color w:val="auto"/>
                <w:sz w:val="24"/>
                <w:szCs w:val="24"/>
              </w:rPr>
            </w:pPr>
            <w:r>
              <w:rPr>
                <w:rFonts w:hint="eastAsia" w:ascii="黑体" w:hAnsi="黑体" w:eastAsia="黑体" w:cs="黑体"/>
                <w:color w:val="auto"/>
                <w:sz w:val="24"/>
                <w:szCs w:val="24"/>
              </w:rPr>
              <w:t>目标值</w:t>
            </w:r>
          </w:p>
        </w:tc>
        <w:tc>
          <w:tcPr>
            <w:tcW w:w="1416" w:type="dxa"/>
            <w:tcBorders>
              <w:top w:val="single" w:color="000000" w:sz="6" w:space="0"/>
              <w:left w:val="single" w:color="999999" w:sz="6" w:space="0"/>
              <w:bottom w:val="single" w:color="999999" w:sz="6" w:space="0"/>
              <w:right w:val="single" w:color="000000" w:sz="6" w:space="0"/>
            </w:tcBorders>
            <w:noWrap w:val="0"/>
            <w:tcMar>
              <w:top w:w="100" w:type="dxa"/>
              <w:left w:w="120" w:type="dxa"/>
              <w:bottom w:w="100" w:type="dxa"/>
              <w:right w:w="120" w:type="dxa"/>
            </w:tcMar>
            <w:vAlign w:val="center"/>
          </w:tcPr>
          <w:p w14:paraId="41EA0682">
            <w:pPr>
              <w:adjustRightInd w:val="0"/>
              <w:snapToGrid w:val="0"/>
              <w:spacing w:line="360" w:lineRule="auto"/>
              <w:ind w:firstLine="0"/>
              <w:jc w:val="center"/>
              <w:rPr>
                <w:rFonts w:ascii="黑体" w:hAnsi="黑体" w:eastAsia="黑体" w:cs="黑体"/>
                <w:color w:val="auto"/>
                <w:sz w:val="24"/>
                <w:szCs w:val="24"/>
              </w:rPr>
            </w:pPr>
            <w:r>
              <w:rPr>
                <w:rFonts w:hint="eastAsia" w:ascii="黑体" w:hAnsi="黑体" w:eastAsia="黑体" w:cs="黑体"/>
                <w:color w:val="auto"/>
                <w:sz w:val="24"/>
                <w:szCs w:val="24"/>
              </w:rPr>
              <w:t>属性</w:t>
            </w:r>
          </w:p>
        </w:tc>
      </w:tr>
      <w:tr w14:paraId="7B178CC3">
        <w:tblPrEx>
          <w:tblBorders>
            <w:top w:val="single" w:color="7A8793" w:sz="4" w:space="0"/>
            <w:left w:val="single" w:color="7A8793" w:sz="4" w:space="0"/>
            <w:bottom w:val="single" w:color="7A8793" w:sz="4" w:space="0"/>
            <w:right w:val="single" w:color="7A8793" w:sz="4" w:space="0"/>
            <w:insideH w:val="single" w:color="7A8793" w:sz="4" w:space="0"/>
            <w:insideV w:val="single" w:color="7A8793" w:sz="4" w:space="0"/>
          </w:tblBorders>
          <w:tblCellMar>
            <w:top w:w="0" w:type="dxa"/>
            <w:left w:w="108" w:type="dxa"/>
            <w:bottom w:w="0" w:type="dxa"/>
            <w:right w:w="108" w:type="dxa"/>
          </w:tblCellMar>
        </w:tblPrEx>
        <w:trPr>
          <w:jc w:val="center"/>
        </w:trPr>
        <w:tc>
          <w:tcPr>
            <w:tcW w:w="4484" w:type="dxa"/>
            <w:tcBorders>
              <w:top w:val="single" w:color="999999" w:sz="6" w:space="0"/>
              <w:left w:val="single" w:color="000000" w:sz="6" w:space="0"/>
              <w:bottom w:val="single" w:color="999999" w:sz="6" w:space="0"/>
              <w:right w:val="single" w:color="999999" w:sz="6" w:space="0"/>
            </w:tcBorders>
            <w:noWrap w:val="0"/>
            <w:tcMar>
              <w:top w:w="100" w:type="dxa"/>
              <w:left w:w="120" w:type="dxa"/>
              <w:bottom w:w="100" w:type="dxa"/>
              <w:right w:w="120" w:type="dxa"/>
            </w:tcMar>
            <w:vAlign w:val="center"/>
          </w:tcPr>
          <w:p w14:paraId="0F587FC8">
            <w:pPr>
              <w:adjustRightInd w:val="0"/>
              <w:snapToGrid w:val="0"/>
              <w:spacing w:line="360" w:lineRule="auto"/>
              <w:ind w:firstLine="0"/>
              <w:rPr>
                <w:rFonts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eastAsia="zh-CN"/>
              </w:rPr>
              <w:t>1.老年人社会活动参与率（%）</w:t>
            </w:r>
          </w:p>
        </w:tc>
        <w:tc>
          <w:tcPr>
            <w:tcW w:w="1476" w:type="dxa"/>
            <w:tcBorders>
              <w:top w:val="single" w:color="999999" w:sz="6" w:space="0"/>
              <w:left w:val="single" w:color="999999" w:sz="6" w:space="0"/>
              <w:bottom w:val="single" w:color="999999" w:sz="6" w:space="0"/>
              <w:right w:val="single" w:color="999999" w:sz="6" w:space="0"/>
            </w:tcBorders>
            <w:noWrap w:val="0"/>
            <w:tcMar>
              <w:top w:w="100" w:type="dxa"/>
              <w:left w:w="120" w:type="dxa"/>
              <w:bottom w:w="100" w:type="dxa"/>
              <w:right w:w="120" w:type="dxa"/>
            </w:tcMar>
            <w:vAlign w:val="center"/>
          </w:tcPr>
          <w:p w14:paraId="15535E5C">
            <w:pPr>
              <w:adjustRightInd w:val="0"/>
              <w:snapToGrid w:val="0"/>
              <w:spacing w:line="360" w:lineRule="auto"/>
              <w:ind w:firstLine="0"/>
              <w:jc w:val="center"/>
              <w:rPr>
                <w:rFonts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rPr>
              <w:t>—</w:t>
            </w:r>
          </w:p>
        </w:tc>
        <w:tc>
          <w:tcPr>
            <w:tcW w:w="1584" w:type="dxa"/>
            <w:tcBorders>
              <w:top w:val="single" w:color="999999" w:sz="6" w:space="0"/>
              <w:left w:val="single" w:color="999999" w:sz="6" w:space="0"/>
              <w:bottom w:val="single" w:color="999999" w:sz="6" w:space="0"/>
              <w:right w:val="single" w:color="999999" w:sz="6" w:space="0"/>
            </w:tcBorders>
            <w:noWrap w:val="0"/>
            <w:tcMar>
              <w:top w:w="100" w:type="dxa"/>
              <w:left w:w="120" w:type="dxa"/>
              <w:bottom w:w="100" w:type="dxa"/>
              <w:right w:w="120" w:type="dxa"/>
            </w:tcMar>
            <w:vAlign w:val="center"/>
          </w:tcPr>
          <w:p w14:paraId="0BEF68F8">
            <w:pPr>
              <w:adjustRightInd w:val="0"/>
              <w:snapToGrid w:val="0"/>
              <w:spacing w:line="360" w:lineRule="auto"/>
              <w:ind w:firstLine="0"/>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w:t>
            </w:r>
            <w:r>
              <w:rPr>
                <w:rFonts w:hint="eastAsia" w:ascii="Times New Roman" w:hAnsi="Times New Roman" w:eastAsia="仿宋_GB2312" w:cs="仿宋_GB2312"/>
                <w:color w:val="auto"/>
                <w:sz w:val="24"/>
                <w:szCs w:val="24"/>
              </w:rPr>
              <w:t>60</w:t>
            </w:r>
          </w:p>
        </w:tc>
        <w:tc>
          <w:tcPr>
            <w:tcW w:w="1416" w:type="dxa"/>
            <w:tcBorders>
              <w:top w:val="single" w:color="999999" w:sz="6" w:space="0"/>
              <w:left w:val="single" w:color="999999" w:sz="6" w:space="0"/>
              <w:bottom w:val="single" w:color="999999" w:sz="6" w:space="0"/>
              <w:right w:val="single" w:color="000000" w:sz="6" w:space="0"/>
            </w:tcBorders>
            <w:noWrap w:val="0"/>
            <w:tcMar>
              <w:top w:w="100" w:type="dxa"/>
              <w:left w:w="120" w:type="dxa"/>
              <w:bottom w:w="100" w:type="dxa"/>
              <w:right w:w="120" w:type="dxa"/>
            </w:tcMar>
            <w:vAlign w:val="center"/>
          </w:tcPr>
          <w:p w14:paraId="6BEA220C">
            <w:pPr>
              <w:adjustRightInd w:val="0"/>
              <w:snapToGrid w:val="0"/>
              <w:spacing w:line="360" w:lineRule="auto"/>
              <w:ind w:firstLine="0"/>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预期性</w:t>
            </w:r>
          </w:p>
        </w:tc>
      </w:tr>
      <w:tr w14:paraId="393AE34B">
        <w:tblPrEx>
          <w:tblBorders>
            <w:top w:val="single" w:color="7A8793" w:sz="4" w:space="0"/>
            <w:left w:val="single" w:color="7A8793" w:sz="4" w:space="0"/>
            <w:bottom w:val="single" w:color="7A8793" w:sz="4" w:space="0"/>
            <w:right w:val="single" w:color="7A8793" w:sz="4" w:space="0"/>
            <w:insideH w:val="single" w:color="7A8793" w:sz="4" w:space="0"/>
            <w:insideV w:val="single" w:color="7A8793" w:sz="4" w:space="0"/>
          </w:tblBorders>
          <w:tblCellMar>
            <w:top w:w="0" w:type="dxa"/>
            <w:left w:w="108" w:type="dxa"/>
            <w:bottom w:w="0" w:type="dxa"/>
            <w:right w:w="108" w:type="dxa"/>
          </w:tblCellMar>
        </w:tblPrEx>
        <w:trPr>
          <w:jc w:val="center"/>
        </w:trPr>
        <w:tc>
          <w:tcPr>
            <w:tcW w:w="4484" w:type="dxa"/>
            <w:tcBorders>
              <w:top w:val="single" w:color="999999" w:sz="6" w:space="0"/>
              <w:left w:val="single" w:color="000000" w:sz="6" w:space="0"/>
              <w:bottom w:val="single" w:color="999999" w:sz="6" w:space="0"/>
              <w:right w:val="single" w:color="999999" w:sz="6" w:space="0"/>
            </w:tcBorders>
            <w:noWrap w:val="0"/>
            <w:tcMar>
              <w:top w:w="100" w:type="dxa"/>
              <w:left w:w="120" w:type="dxa"/>
              <w:bottom w:w="100" w:type="dxa"/>
              <w:right w:w="120" w:type="dxa"/>
            </w:tcMar>
            <w:vAlign w:val="center"/>
          </w:tcPr>
          <w:p w14:paraId="5D4CB3BB">
            <w:pPr>
              <w:adjustRightInd w:val="0"/>
              <w:snapToGrid w:val="0"/>
              <w:spacing w:line="360" w:lineRule="auto"/>
              <w:ind w:firstLine="0"/>
              <w:rPr>
                <w:rFonts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eastAsia="zh-CN"/>
              </w:rPr>
              <w:t>2.基层老年协会覆盖率（%）</w:t>
            </w:r>
          </w:p>
        </w:tc>
        <w:tc>
          <w:tcPr>
            <w:tcW w:w="1476" w:type="dxa"/>
            <w:tcBorders>
              <w:top w:val="single" w:color="999999" w:sz="6" w:space="0"/>
              <w:left w:val="single" w:color="999999" w:sz="6" w:space="0"/>
              <w:bottom w:val="single" w:color="999999" w:sz="6" w:space="0"/>
              <w:right w:val="single" w:color="999999" w:sz="6" w:space="0"/>
            </w:tcBorders>
            <w:noWrap w:val="0"/>
            <w:tcMar>
              <w:top w:w="100" w:type="dxa"/>
              <w:left w:w="120" w:type="dxa"/>
              <w:bottom w:w="100" w:type="dxa"/>
              <w:right w:w="120" w:type="dxa"/>
            </w:tcMar>
            <w:vAlign w:val="center"/>
          </w:tcPr>
          <w:p w14:paraId="50F4AFFD">
            <w:pPr>
              <w:adjustRightInd w:val="0"/>
              <w:snapToGrid w:val="0"/>
              <w:spacing w:line="360" w:lineRule="auto"/>
              <w:ind w:firstLine="0"/>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w:t>
            </w:r>
          </w:p>
        </w:tc>
        <w:tc>
          <w:tcPr>
            <w:tcW w:w="1584" w:type="dxa"/>
            <w:tcBorders>
              <w:top w:val="single" w:color="999999" w:sz="6" w:space="0"/>
              <w:left w:val="single" w:color="999999" w:sz="6" w:space="0"/>
              <w:bottom w:val="single" w:color="999999" w:sz="6" w:space="0"/>
              <w:right w:val="single" w:color="999999" w:sz="6" w:space="0"/>
            </w:tcBorders>
            <w:noWrap w:val="0"/>
            <w:tcMar>
              <w:top w:w="100" w:type="dxa"/>
              <w:left w:w="120" w:type="dxa"/>
              <w:bottom w:w="100" w:type="dxa"/>
              <w:right w:w="120" w:type="dxa"/>
            </w:tcMar>
            <w:vAlign w:val="center"/>
          </w:tcPr>
          <w:p w14:paraId="395C6B70">
            <w:pPr>
              <w:adjustRightInd w:val="0"/>
              <w:snapToGrid w:val="0"/>
              <w:spacing w:line="360" w:lineRule="auto"/>
              <w:ind w:firstLine="0"/>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w:t>
            </w:r>
            <w:r>
              <w:rPr>
                <w:rFonts w:hint="eastAsia" w:ascii="Times New Roman" w:hAnsi="Times New Roman" w:eastAsia="仿宋_GB2312" w:cs="仿宋_GB2312"/>
                <w:color w:val="auto"/>
                <w:sz w:val="24"/>
                <w:szCs w:val="24"/>
              </w:rPr>
              <w:t>80</w:t>
            </w:r>
          </w:p>
        </w:tc>
        <w:tc>
          <w:tcPr>
            <w:tcW w:w="1416" w:type="dxa"/>
            <w:tcBorders>
              <w:top w:val="single" w:color="999999" w:sz="6" w:space="0"/>
              <w:left w:val="single" w:color="999999" w:sz="6" w:space="0"/>
              <w:bottom w:val="single" w:color="999999" w:sz="6" w:space="0"/>
              <w:right w:val="single" w:color="000000" w:sz="6" w:space="0"/>
            </w:tcBorders>
            <w:noWrap w:val="0"/>
            <w:tcMar>
              <w:top w:w="100" w:type="dxa"/>
              <w:left w:w="120" w:type="dxa"/>
              <w:bottom w:w="100" w:type="dxa"/>
              <w:right w:w="120" w:type="dxa"/>
            </w:tcMar>
            <w:vAlign w:val="center"/>
          </w:tcPr>
          <w:p w14:paraId="0C99E39C">
            <w:pPr>
              <w:adjustRightInd w:val="0"/>
              <w:snapToGrid w:val="0"/>
              <w:spacing w:line="360" w:lineRule="auto"/>
              <w:ind w:firstLine="0"/>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预期性</w:t>
            </w:r>
          </w:p>
        </w:tc>
      </w:tr>
      <w:tr w14:paraId="7F215769">
        <w:tblPrEx>
          <w:tblBorders>
            <w:top w:val="single" w:color="7A8793" w:sz="4" w:space="0"/>
            <w:left w:val="single" w:color="7A8793" w:sz="4" w:space="0"/>
            <w:bottom w:val="single" w:color="7A8793" w:sz="4" w:space="0"/>
            <w:right w:val="single" w:color="7A8793" w:sz="4" w:space="0"/>
            <w:insideH w:val="single" w:color="7A8793" w:sz="4" w:space="0"/>
            <w:insideV w:val="single" w:color="7A8793" w:sz="4" w:space="0"/>
          </w:tblBorders>
          <w:tblCellMar>
            <w:top w:w="0" w:type="dxa"/>
            <w:left w:w="108" w:type="dxa"/>
            <w:bottom w:w="0" w:type="dxa"/>
            <w:right w:w="108" w:type="dxa"/>
          </w:tblCellMar>
        </w:tblPrEx>
        <w:trPr>
          <w:jc w:val="center"/>
        </w:trPr>
        <w:tc>
          <w:tcPr>
            <w:tcW w:w="4484" w:type="dxa"/>
            <w:tcBorders>
              <w:top w:val="single" w:color="999999" w:sz="6" w:space="0"/>
              <w:left w:val="single" w:color="000000" w:sz="6" w:space="0"/>
              <w:bottom w:val="single" w:color="999999" w:sz="6" w:space="0"/>
              <w:right w:val="single" w:color="999999" w:sz="6" w:space="0"/>
            </w:tcBorders>
            <w:noWrap w:val="0"/>
            <w:tcMar>
              <w:top w:w="100" w:type="dxa"/>
              <w:left w:w="120" w:type="dxa"/>
              <w:bottom w:w="100" w:type="dxa"/>
              <w:right w:w="120" w:type="dxa"/>
            </w:tcMar>
            <w:vAlign w:val="center"/>
          </w:tcPr>
          <w:p w14:paraId="5284E92B">
            <w:pPr>
              <w:adjustRightInd w:val="0"/>
              <w:snapToGrid w:val="0"/>
              <w:spacing w:line="360" w:lineRule="auto"/>
              <w:ind w:firstLine="0"/>
              <w:rPr>
                <w:rFonts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eastAsia="zh-CN"/>
              </w:rPr>
              <w:t>3.县级综合养老服务管理平台覆盖率（%）</w:t>
            </w:r>
          </w:p>
        </w:tc>
        <w:tc>
          <w:tcPr>
            <w:tcW w:w="1476" w:type="dxa"/>
            <w:tcBorders>
              <w:top w:val="single" w:color="999999" w:sz="6" w:space="0"/>
              <w:left w:val="single" w:color="999999" w:sz="6" w:space="0"/>
              <w:bottom w:val="single" w:color="999999" w:sz="6" w:space="0"/>
              <w:right w:val="single" w:color="999999" w:sz="6" w:space="0"/>
            </w:tcBorders>
            <w:noWrap w:val="0"/>
            <w:tcMar>
              <w:top w:w="100" w:type="dxa"/>
              <w:left w:w="120" w:type="dxa"/>
              <w:bottom w:w="100" w:type="dxa"/>
              <w:right w:w="120" w:type="dxa"/>
            </w:tcMar>
            <w:vAlign w:val="center"/>
          </w:tcPr>
          <w:p w14:paraId="109C0242">
            <w:pPr>
              <w:adjustRightInd w:val="0"/>
              <w:snapToGrid w:val="0"/>
              <w:spacing w:line="360" w:lineRule="auto"/>
              <w:ind w:firstLine="0"/>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w:t>
            </w:r>
          </w:p>
        </w:tc>
        <w:tc>
          <w:tcPr>
            <w:tcW w:w="1584" w:type="dxa"/>
            <w:tcBorders>
              <w:top w:val="single" w:color="999999" w:sz="6" w:space="0"/>
              <w:left w:val="single" w:color="999999" w:sz="6" w:space="0"/>
              <w:bottom w:val="single" w:color="999999" w:sz="6" w:space="0"/>
              <w:right w:val="single" w:color="999999" w:sz="6" w:space="0"/>
            </w:tcBorders>
            <w:noWrap w:val="0"/>
            <w:tcMar>
              <w:top w:w="100" w:type="dxa"/>
              <w:left w:w="120" w:type="dxa"/>
              <w:bottom w:w="100" w:type="dxa"/>
              <w:right w:w="120" w:type="dxa"/>
            </w:tcMar>
            <w:vAlign w:val="center"/>
          </w:tcPr>
          <w:p w14:paraId="1318FEC1">
            <w:pPr>
              <w:adjustRightInd w:val="0"/>
              <w:snapToGrid w:val="0"/>
              <w:spacing w:line="360" w:lineRule="auto"/>
              <w:ind w:firstLine="0"/>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w:t>
            </w:r>
            <w:r>
              <w:rPr>
                <w:rFonts w:hint="eastAsia" w:ascii="Times New Roman" w:hAnsi="Times New Roman" w:eastAsia="仿宋_GB2312" w:cs="仿宋_GB2312"/>
                <w:color w:val="auto"/>
                <w:sz w:val="24"/>
                <w:szCs w:val="24"/>
              </w:rPr>
              <w:t>80</w:t>
            </w:r>
          </w:p>
        </w:tc>
        <w:tc>
          <w:tcPr>
            <w:tcW w:w="1416" w:type="dxa"/>
            <w:tcBorders>
              <w:top w:val="single" w:color="999999" w:sz="6" w:space="0"/>
              <w:left w:val="single" w:color="999999" w:sz="6" w:space="0"/>
              <w:bottom w:val="single" w:color="999999" w:sz="6" w:space="0"/>
              <w:right w:val="single" w:color="000000" w:sz="6" w:space="0"/>
            </w:tcBorders>
            <w:noWrap w:val="0"/>
            <w:tcMar>
              <w:top w:w="100" w:type="dxa"/>
              <w:left w:w="120" w:type="dxa"/>
              <w:bottom w:w="100" w:type="dxa"/>
              <w:right w:w="120" w:type="dxa"/>
            </w:tcMar>
            <w:vAlign w:val="center"/>
          </w:tcPr>
          <w:p w14:paraId="1F58F8B3">
            <w:pPr>
              <w:adjustRightInd w:val="0"/>
              <w:snapToGrid w:val="0"/>
              <w:spacing w:line="360" w:lineRule="auto"/>
              <w:ind w:firstLine="0"/>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预期性</w:t>
            </w:r>
          </w:p>
        </w:tc>
      </w:tr>
      <w:tr w14:paraId="15EBAD09">
        <w:tblPrEx>
          <w:tblBorders>
            <w:top w:val="single" w:color="7A8793" w:sz="4" w:space="0"/>
            <w:left w:val="single" w:color="7A8793" w:sz="4" w:space="0"/>
            <w:bottom w:val="single" w:color="7A8793" w:sz="4" w:space="0"/>
            <w:right w:val="single" w:color="7A8793" w:sz="4" w:space="0"/>
            <w:insideH w:val="single" w:color="7A8793" w:sz="4" w:space="0"/>
            <w:insideV w:val="single" w:color="7A8793" w:sz="4" w:space="0"/>
          </w:tblBorders>
          <w:tblCellMar>
            <w:top w:w="0" w:type="dxa"/>
            <w:left w:w="108" w:type="dxa"/>
            <w:bottom w:w="0" w:type="dxa"/>
            <w:right w:w="108" w:type="dxa"/>
          </w:tblCellMar>
        </w:tblPrEx>
        <w:trPr>
          <w:jc w:val="center"/>
        </w:trPr>
        <w:tc>
          <w:tcPr>
            <w:tcW w:w="4484" w:type="dxa"/>
            <w:tcBorders>
              <w:top w:val="single" w:color="999999" w:sz="6" w:space="0"/>
              <w:left w:val="single" w:color="000000" w:sz="6" w:space="0"/>
              <w:bottom w:val="single" w:color="999999" w:sz="6" w:space="0"/>
              <w:right w:val="single" w:color="999999" w:sz="6" w:space="0"/>
            </w:tcBorders>
            <w:noWrap w:val="0"/>
            <w:tcMar>
              <w:top w:w="100" w:type="dxa"/>
              <w:left w:w="120" w:type="dxa"/>
              <w:bottom w:w="100" w:type="dxa"/>
              <w:right w:w="120" w:type="dxa"/>
            </w:tcMar>
            <w:vAlign w:val="center"/>
          </w:tcPr>
          <w:p w14:paraId="15239532">
            <w:pPr>
              <w:adjustRightInd w:val="0"/>
              <w:snapToGrid w:val="0"/>
              <w:spacing w:line="360" w:lineRule="auto"/>
              <w:ind w:firstLine="0"/>
              <w:rPr>
                <w:rFonts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eastAsia="zh-CN"/>
              </w:rPr>
              <w:t>4.乡镇（街道）区域养老服务中心覆盖率（%）</w:t>
            </w:r>
          </w:p>
        </w:tc>
        <w:tc>
          <w:tcPr>
            <w:tcW w:w="1476" w:type="dxa"/>
            <w:tcBorders>
              <w:top w:val="single" w:color="999999" w:sz="6" w:space="0"/>
              <w:left w:val="single" w:color="999999" w:sz="6" w:space="0"/>
              <w:bottom w:val="single" w:color="999999" w:sz="6" w:space="0"/>
              <w:right w:val="single" w:color="999999" w:sz="6" w:space="0"/>
            </w:tcBorders>
            <w:noWrap w:val="0"/>
            <w:tcMar>
              <w:top w:w="100" w:type="dxa"/>
              <w:left w:w="120" w:type="dxa"/>
              <w:bottom w:w="100" w:type="dxa"/>
              <w:right w:w="120" w:type="dxa"/>
            </w:tcMar>
            <w:vAlign w:val="center"/>
          </w:tcPr>
          <w:p w14:paraId="638133F3">
            <w:pPr>
              <w:adjustRightInd w:val="0"/>
              <w:snapToGrid w:val="0"/>
              <w:spacing w:line="360" w:lineRule="auto"/>
              <w:ind w:firstLine="0"/>
              <w:jc w:val="center"/>
              <w:rPr>
                <w:rFonts w:ascii="仿宋_GB2312" w:hAnsi="仿宋_GB2312" w:eastAsia="仿宋_GB2312" w:cs="仿宋_GB2312"/>
                <w:color w:val="auto"/>
                <w:sz w:val="24"/>
                <w:szCs w:val="24"/>
              </w:rPr>
            </w:pPr>
            <w:r>
              <w:rPr>
                <w:rFonts w:hint="eastAsia" w:ascii="Times New Roman" w:hAnsi="Times New Roman" w:eastAsia="仿宋_GB2312" w:cs="仿宋_GB2312"/>
                <w:color w:val="auto"/>
                <w:sz w:val="24"/>
                <w:szCs w:val="24"/>
              </w:rPr>
              <w:t>71</w:t>
            </w:r>
          </w:p>
        </w:tc>
        <w:tc>
          <w:tcPr>
            <w:tcW w:w="1584" w:type="dxa"/>
            <w:tcBorders>
              <w:top w:val="single" w:color="999999" w:sz="6" w:space="0"/>
              <w:left w:val="single" w:color="999999" w:sz="6" w:space="0"/>
              <w:bottom w:val="single" w:color="999999" w:sz="6" w:space="0"/>
              <w:right w:val="single" w:color="999999" w:sz="6" w:space="0"/>
            </w:tcBorders>
            <w:noWrap w:val="0"/>
            <w:tcMar>
              <w:top w:w="100" w:type="dxa"/>
              <w:left w:w="120" w:type="dxa"/>
              <w:bottom w:w="100" w:type="dxa"/>
              <w:right w:w="120" w:type="dxa"/>
            </w:tcMar>
            <w:vAlign w:val="center"/>
          </w:tcPr>
          <w:p w14:paraId="1B1BFBD4">
            <w:pPr>
              <w:adjustRightInd w:val="0"/>
              <w:snapToGrid w:val="0"/>
              <w:spacing w:line="360" w:lineRule="auto"/>
              <w:ind w:firstLine="0"/>
              <w:jc w:val="center"/>
              <w:rPr>
                <w:rFonts w:hint="default"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rPr>
              <w:t>≥</w:t>
            </w:r>
            <w:r>
              <w:rPr>
                <w:rFonts w:hint="eastAsia" w:ascii="Times New Roman" w:hAnsi="Times New Roman" w:eastAsia="仿宋_GB2312" w:cs="仿宋_GB2312"/>
                <w:color w:val="auto"/>
                <w:sz w:val="24"/>
                <w:szCs w:val="24"/>
                <w:lang w:val="en-US" w:eastAsia="zh-CN"/>
              </w:rPr>
              <w:t>60</w:t>
            </w:r>
          </w:p>
        </w:tc>
        <w:tc>
          <w:tcPr>
            <w:tcW w:w="1416" w:type="dxa"/>
            <w:tcBorders>
              <w:top w:val="single" w:color="999999" w:sz="6" w:space="0"/>
              <w:left w:val="single" w:color="999999" w:sz="6" w:space="0"/>
              <w:bottom w:val="single" w:color="999999" w:sz="6" w:space="0"/>
              <w:right w:val="single" w:color="000000" w:sz="6" w:space="0"/>
            </w:tcBorders>
            <w:noWrap w:val="0"/>
            <w:tcMar>
              <w:top w:w="100" w:type="dxa"/>
              <w:left w:w="120" w:type="dxa"/>
              <w:bottom w:w="100" w:type="dxa"/>
              <w:right w:w="120" w:type="dxa"/>
            </w:tcMar>
            <w:vAlign w:val="center"/>
          </w:tcPr>
          <w:p w14:paraId="1203CF0E">
            <w:pPr>
              <w:adjustRightInd w:val="0"/>
              <w:snapToGrid w:val="0"/>
              <w:spacing w:line="360" w:lineRule="auto"/>
              <w:ind w:firstLine="0"/>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预期性</w:t>
            </w:r>
          </w:p>
        </w:tc>
      </w:tr>
      <w:tr w14:paraId="43824DC0">
        <w:tblPrEx>
          <w:tblBorders>
            <w:top w:val="single" w:color="7A8793" w:sz="4" w:space="0"/>
            <w:left w:val="single" w:color="7A8793" w:sz="4" w:space="0"/>
            <w:bottom w:val="single" w:color="7A8793" w:sz="4" w:space="0"/>
            <w:right w:val="single" w:color="7A8793" w:sz="4" w:space="0"/>
            <w:insideH w:val="single" w:color="7A8793" w:sz="4" w:space="0"/>
            <w:insideV w:val="single" w:color="7A8793" w:sz="4" w:space="0"/>
          </w:tblBorders>
          <w:tblCellMar>
            <w:top w:w="0" w:type="dxa"/>
            <w:left w:w="108" w:type="dxa"/>
            <w:bottom w:w="0" w:type="dxa"/>
            <w:right w:w="108" w:type="dxa"/>
          </w:tblCellMar>
        </w:tblPrEx>
        <w:trPr>
          <w:jc w:val="center"/>
        </w:trPr>
        <w:tc>
          <w:tcPr>
            <w:tcW w:w="4484" w:type="dxa"/>
            <w:tcBorders>
              <w:top w:val="single" w:color="999999" w:sz="6" w:space="0"/>
              <w:left w:val="single" w:color="000000" w:sz="6" w:space="0"/>
              <w:bottom w:val="single" w:color="999999" w:sz="6" w:space="0"/>
              <w:right w:val="single" w:color="999999" w:sz="6" w:space="0"/>
            </w:tcBorders>
            <w:noWrap w:val="0"/>
            <w:tcMar>
              <w:top w:w="100" w:type="dxa"/>
              <w:left w:w="120" w:type="dxa"/>
              <w:bottom w:w="100" w:type="dxa"/>
              <w:right w:w="120" w:type="dxa"/>
            </w:tcMar>
            <w:vAlign w:val="center"/>
          </w:tcPr>
          <w:p w14:paraId="0E682645">
            <w:pPr>
              <w:adjustRightInd w:val="0"/>
              <w:snapToGrid w:val="0"/>
              <w:spacing w:line="360" w:lineRule="auto"/>
              <w:ind w:firstLine="0"/>
              <w:rPr>
                <w:rFonts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eastAsia="zh-CN"/>
              </w:rPr>
              <w:t>5.社区（村）养老服务机构和设施覆盖率（%）</w:t>
            </w:r>
          </w:p>
        </w:tc>
        <w:tc>
          <w:tcPr>
            <w:tcW w:w="1476" w:type="dxa"/>
            <w:tcBorders>
              <w:top w:val="single" w:color="999999" w:sz="6" w:space="0"/>
              <w:left w:val="single" w:color="999999" w:sz="6" w:space="0"/>
              <w:bottom w:val="single" w:color="999999" w:sz="6" w:space="0"/>
              <w:right w:val="single" w:color="999999" w:sz="6" w:space="0"/>
            </w:tcBorders>
            <w:noWrap w:val="0"/>
            <w:tcMar>
              <w:top w:w="100" w:type="dxa"/>
              <w:left w:w="120" w:type="dxa"/>
              <w:bottom w:w="100" w:type="dxa"/>
              <w:right w:w="120" w:type="dxa"/>
            </w:tcMar>
            <w:vAlign w:val="center"/>
          </w:tcPr>
          <w:p w14:paraId="4054D251">
            <w:pPr>
              <w:adjustRightInd w:val="0"/>
              <w:snapToGrid w:val="0"/>
              <w:spacing w:line="360" w:lineRule="auto"/>
              <w:ind w:firstLine="0"/>
              <w:jc w:val="center"/>
              <w:rPr>
                <w:rFonts w:hint="default" w:ascii="仿宋_GB2312" w:hAnsi="仿宋_GB2312" w:eastAsia="仿宋_GB2312" w:cs="仿宋_GB2312"/>
                <w:color w:val="auto"/>
                <w:sz w:val="24"/>
                <w:szCs w:val="24"/>
                <w:lang w:val="en-US" w:eastAsia="zh-CN"/>
              </w:rPr>
            </w:pPr>
            <w:r>
              <w:rPr>
                <w:rFonts w:hint="eastAsia" w:ascii="Times New Roman" w:hAnsi="Times New Roman" w:eastAsia="仿宋_GB2312" w:cs="仿宋_GB2312"/>
                <w:color w:val="auto"/>
                <w:sz w:val="24"/>
                <w:szCs w:val="24"/>
                <w:lang w:val="en-US" w:eastAsia="zh-CN"/>
              </w:rPr>
              <w:t>100</w:t>
            </w:r>
          </w:p>
        </w:tc>
        <w:tc>
          <w:tcPr>
            <w:tcW w:w="1584" w:type="dxa"/>
            <w:tcBorders>
              <w:top w:val="single" w:color="999999" w:sz="6" w:space="0"/>
              <w:left w:val="single" w:color="999999" w:sz="6" w:space="0"/>
              <w:bottom w:val="single" w:color="999999" w:sz="6" w:space="0"/>
              <w:right w:val="single" w:color="999999" w:sz="6" w:space="0"/>
            </w:tcBorders>
            <w:noWrap w:val="0"/>
            <w:tcMar>
              <w:top w:w="100" w:type="dxa"/>
              <w:left w:w="120" w:type="dxa"/>
              <w:bottom w:w="100" w:type="dxa"/>
              <w:right w:w="120" w:type="dxa"/>
            </w:tcMar>
            <w:vAlign w:val="center"/>
          </w:tcPr>
          <w:p w14:paraId="62685ED4">
            <w:pPr>
              <w:adjustRightInd w:val="0"/>
              <w:snapToGrid w:val="0"/>
              <w:spacing w:line="360" w:lineRule="auto"/>
              <w:ind w:firstLine="0"/>
              <w:jc w:val="center"/>
              <w:rPr>
                <w:rFonts w:hint="default" w:ascii="仿宋_GB2312" w:hAnsi="仿宋_GB2312" w:eastAsia="仿宋_GB2312" w:cs="仿宋_GB2312"/>
                <w:color w:val="auto"/>
                <w:sz w:val="24"/>
                <w:szCs w:val="24"/>
                <w:lang w:val="en-US" w:eastAsia="zh-CN"/>
              </w:rPr>
            </w:pPr>
            <w:r>
              <w:rPr>
                <w:rFonts w:hint="eastAsia" w:ascii="Times New Roman" w:hAnsi="Times New Roman" w:eastAsia="仿宋_GB2312" w:cs="仿宋_GB2312"/>
                <w:color w:val="auto"/>
                <w:sz w:val="24"/>
                <w:szCs w:val="24"/>
                <w:lang w:val="en-US" w:eastAsia="zh-CN"/>
              </w:rPr>
              <w:t>100</w:t>
            </w:r>
          </w:p>
        </w:tc>
        <w:tc>
          <w:tcPr>
            <w:tcW w:w="1416" w:type="dxa"/>
            <w:tcBorders>
              <w:top w:val="single" w:color="999999" w:sz="6" w:space="0"/>
              <w:left w:val="single" w:color="999999" w:sz="6" w:space="0"/>
              <w:bottom w:val="single" w:color="999999" w:sz="6" w:space="0"/>
              <w:right w:val="single" w:color="000000" w:sz="6" w:space="0"/>
            </w:tcBorders>
            <w:noWrap w:val="0"/>
            <w:tcMar>
              <w:top w:w="100" w:type="dxa"/>
              <w:left w:w="120" w:type="dxa"/>
              <w:bottom w:w="100" w:type="dxa"/>
              <w:right w:w="120" w:type="dxa"/>
            </w:tcMar>
            <w:vAlign w:val="center"/>
          </w:tcPr>
          <w:p w14:paraId="71F5BDBC">
            <w:pPr>
              <w:adjustRightInd w:val="0"/>
              <w:snapToGrid w:val="0"/>
              <w:spacing w:line="360" w:lineRule="auto"/>
              <w:ind w:firstLine="0"/>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预期性</w:t>
            </w:r>
          </w:p>
        </w:tc>
      </w:tr>
      <w:tr w14:paraId="701BD6DB">
        <w:tblPrEx>
          <w:tblBorders>
            <w:top w:val="single" w:color="7A8793" w:sz="4" w:space="0"/>
            <w:left w:val="single" w:color="7A8793" w:sz="4" w:space="0"/>
            <w:bottom w:val="single" w:color="7A8793" w:sz="4" w:space="0"/>
            <w:right w:val="single" w:color="7A8793" w:sz="4" w:space="0"/>
            <w:insideH w:val="single" w:color="7A8793" w:sz="4" w:space="0"/>
            <w:insideV w:val="single" w:color="7A8793" w:sz="4" w:space="0"/>
          </w:tblBorders>
          <w:tblCellMar>
            <w:top w:w="0" w:type="dxa"/>
            <w:left w:w="108" w:type="dxa"/>
            <w:bottom w:w="0" w:type="dxa"/>
            <w:right w:w="108" w:type="dxa"/>
          </w:tblCellMar>
        </w:tblPrEx>
        <w:trPr>
          <w:jc w:val="center"/>
        </w:trPr>
        <w:tc>
          <w:tcPr>
            <w:tcW w:w="4484" w:type="dxa"/>
            <w:tcBorders>
              <w:top w:val="single" w:color="999999" w:sz="6" w:space="0"/>
              <w:left w:val="single" w:color="000000" w:sz="6" w:space="0"/>
              <w:bottom w:val="single" w:color="999999" w:sz="6" w:space="0"/>
              <w:right w:val="single" w:color="999999" w:sz="6" w:space="0"/>
            </w:tcBorders>
            <w:noWrap w:val="0"/>
            <w:tcMar>
              <w:top w:w="100" w:type="dxa"/>
              <w:left w:w="120" w:type="dxa"/>
              <w:bottom w:w="100" w:type="dxa"/>
              <w:right w:w="120" w:type="dxa"/>
            </w:tcMar>
            <w:vAlign w:val="center"/>
          </w:tcPr>
          <w:p w14:paraId="5C06B48D">
            <w:pPr>
              <w:adjustRightInd w:val="0"/>
              <w:snapToGrid w:val="0"/>
              <w:spacing w:line="360" w:lineRule="auto"/>
              <w:ind w:firstLine="0"/>
              <w:rPr>
                <w:rFonts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eastAsia="zh-CN"/>
              </w:rPr>
              <w:t>6.养老机构护理型床位占比（%）</w:t>
            </w:r>
          </w:p>
        </w:tc>
        <w:tc>
          <w:tcPr>
            <w:tcW w:w="1476" w:type="dxa"/>
            <w:tcBorders>
              <w:top w:val="single" w:color="999999" w:sz="6" w:space="0"/>
              <w:left w:val="single" w:color="999999" w:sz="6" w:space="0"/>
              <w:bottom w:val="single" w:color="999999" w:sz="6" w:space="0"/>
              <w:right w:val="single" w:color="999999" w:sz="6" w:space="0"/>
            </w:tcBorders>
            <w:noWrap w:val="0"/>
            <w:tcMar>
              <w:top w:w="100" w:type="dxa"/>
              <w:left w:w="120" w:type="dxa"/>
              <w:bottom w:w="100" w:type="dxa"/>
              <w:right w:w="120" w:type="dxa"/>
            </w:tcMar>
            <w:vAlign w:val="center"/>
          </w:tcPr>
          <w:p w14:paraId="3374F423">
            <w:pPr>
              <w:adjustRightInd w:val="0"/>
              <w:snapToGrid w:val="0"/>
              <w:spacing w:line="360" w:lineRule="auto"/>
              <w:ind w:firstLine="0"/>
              <w:jc w:val="center"/>
              <w:rPr>
                <w:rFonts w:ascii="仿宋_GB2312" w:hAnsi="仿宋_GB2312" w:eastAsia="仿宋_GB2312" w:cs="仿宋_GB2312"/>
                <w:color w:val="auto"/>
                <w:sz w:val="24"/>
                <w:szCs w:val="24"/>
              </w:rPr>
            </w:pPr>
            <w:r>
              <w:rPr>
                <w:rFonts w:hint="default" w:ascii="Times New Roman" w:hAnsi="Times New Roman" w:eastAsia="仿宋_GB2312" w:cs="仿宋_GB2312"/>
                <w:color w:val="auto"/>
                <w:sz w:val="24"/>
                <w:szCs w:val="24"/>
              </w:rPr>
              <w:t>72.51</w:t>
            </w:r>
          </w:p>
        </w:tc>
        <w:tc>
          <w:tcPr>
            <w:tcW w:w="1584" w:type="dxa"/>
            <w:tcBorders>
              <w:top w:val="single" w:color="999999" w:sz="6" w:space="0"/>
              <w:left w:val="single" w:color="999999" w:sz="6" w:space="0"/>
              <w:bottom w:val="single" w:color="999999" w:sz="6" w:space="0"/>
              <w:right w:val="single" w:color="999999" w:sz="6" w:space="0"/>
            </w:tcBorders>
            <w:noWrap w:val="0"/>
            <w:tcMar>
              <w:top w:w="100" w:type="dxa"/>
              <w:left w:w="120" w:type="dxa"/>
              <w:bottom w:w="100" w:type="dxa"/>
              <w:right w:w="120" w:type="dxa"/>
            </w:tcMar>
            <w:vAlign w:val="center"/>
          </w:tcPr>
          <w:p w14:paraId="63B992DE">
            <w:pPr>
              <w:adjustRightInd w:val="0"/>
              <w:snapToGrid w:val="0"/>
              <w:spacing w:line="360" w:lineRule="auto"/>
              <w:ind w:firstLine="0"/>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w:t>
            </w:r>
            <w:r>
              <w:rPr>
                <w:rFonts w:hint="eastAsia" w:ascii="Times New Roman" w:hAnsi="Times New Roman" w:eastAsia="仿宋_GB2312" w:cs="仿宋_GB2312"/>
                <w:color w:val="auto"/>
                <w:sz w:val="24"/>
                <w:szCs w:val="24"/>
              </w:rPr>
              <w:t>80</w:t>
            </w:r>
          </w:p>
        </w:tc>
        <w:tc>
          <w:tcPr>
            <w:tcW w:w="1416" w:type="dxa"/>
            <w:tcBorders>
              <w:top w:val="single" w:color="999999" w:sz="6" w:space="0"/>
              <w:left w:val="single" w:color="999999" w:sz="6" w:space="0"/>
              <w:bottom w:val="single" w:color="999999" w:sz="6" w:space="0"/>
              <w:right w:val="single" w:color="000000" w:sz="6" w:space="0"/>
            </w:tcBorders>
            <w:noWrap w:val="0"/>
            <w:tcMar>
              <w:top w:w="100" w:type="dxa"/>
              <w:left w:w="120" w:type="dxa"/>
              <w:bottom w:w="100" w:type="dxa"/>
              <w:right w:w="120" w:type="dxa"/>
            </w:tcMar>
            <w:vAlign w:val="center"/>
          </w:tcPr>
          <w:p w14:paraId="0FD3C9C2">
            <w:pPr>
              <w:adjustRightInd w:val="0"/>
              <w:snapToGrid w:val="0"/>
              <w:spacing w:line="360" w:lineRule="auto"/>
              <w:ind w:firstLine="0"/>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约束性</w:t>
            </w:r>
          </w:p>
        </w:tc>
      </w:tr>
      <w:tr w14:paraId="54AC8065">
        <w:tblPrEx>
          <w:tblBorders>
            <w:top w:val="single" w:color="7A8793" w:sz="4" w:space="0"/>
            <w:left w:val="single" w:color="7A8793" w:sz="4" w:space="0"/>
            <w:bottom w:val="single" w:color="7A8793" w:sz="4" w:space="0"/>
            <w:right w:val="single" w:color="7A8793" w:sz="4" w:space="0"/>
            <w:insideH w:val="single" w:color="7A8793" w:sz="4" w:space="0"/>
            <w:insideV w:val="single" w:color="7A8793" w:sz="4" w:space="0"/>
          </w:tblBorders>
          <w:tblCellMar>
            <w:top w:w="0" w:type="dxa"/>
            <w:left w:w="108" w:type="dxa"/>
            <w:bottom w:w="0" w:type="dxa"/>
            <w:right w:w="108" w:type="dxa"/>
          </w:tblCellMar>
        </w:tblPrEx>
        <w:trPr>
          <w:jc w:val="center"/>
        </w:trPr>
        <w:tc>
          <w:tcPr>
            <w:tcW w:w="4484" w:type="dxa"/>
            <w:tcBorders>
              <w:top w:val="single" w:color="999999" w:sz="6" w:space="0"/>
              <w:left w:val="single" w:color="000000" w:sz="6" w:space="0"/>
              <w:bottom w:val="single" w:color="999999" w:sz="6" w:space="0"/>
              <w:right w:val="single" w:color="999999" w:sz="6" w:space="0"/>
            </w:tcBorders>
            <w:noWrap w:val="0"/>
            <w:tcMar>
              <w:top w:w="100" w:type="dxa"/>
              <w:left w:w="120" w:type="dxa"/>
              <w:bottom w:w="100" w:type="dxa"/>
              <w:right w:w="120" w:type="dxa"/>
            </w:tcMar>
            <w:vAlign w:val="center"/>
          </w:tcPr>
          <w:p w14:paraId="0528D4FE">
            <w:pPr>
              <w:adjustRightInd w:val="0"/>
              <w:snapToGrid w:val="0"/>
              <w:spacing w:line="360" w:lineRule="auto"/>
              <w:ind w:firstLine="0"/>
              <w:rPr>
                <w:rFonts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eastAsia="zh-CN"/>
              </w:rPr>
              <w:t>7.养老机构中取得职业技能等级证书的养老护理员占比（%）</w:t>
            </w:r>
          </w:p>
        </w:tc>
        <w:tc>
          <w:tcPr>
            <w:tcW w:w="1476" w:type="dxa"/>
            <w:tcBorders>
              <w:top w:val="single" w:color="999999" w:sz="6" w:space="0"/>
              <w:left w:val="single" w:color="999999" w:sz="6" w:space="0"/>
              <w:bottom w:val="single" w:color="999999" w:sz="6" w:space="0"/>
              <w:right w:val="single" w:color="999999" w:sz="6" w:space="0"/>
            </w:tcBorders>
            <w:noWrap w:val="0"/>
            <w:tcMar>
              <w:top w:w="100" w:type="dxa"/>
              <w:left w:w="120" w:type="dxa"/>
              <w:bottom w:w="100" w:type="dxa"/>
              <w:right w:w="120" w:type="dxa"/>
            </w:tcMar>
            <w:vAlign w:val="center"/>
          </w:tcPr>
          <w:p w14:paraId="7B95685D">
            <w:pPr>
              <w:adjustRightInd w:val="0"/>
              <w:snapToGrid w:val="0"/>
              <w:spacing w:line="360" w:lineRule="auto"/>
              <w:ind w:firstLine="0"/>
              <w:jc w:val="center"/>
              <w:rPr>
                <w:rFonts w:hint="eastAsia" w:ascii="仿宋_GB2312" w:hAnsi="仿宋_GB2312" w:eastAsia="仿宋_GB2312" w:cs="仿宋_GB2312"/>
                <w:color w:val="auto"/>
                <w:sz w:val="24"/>
                <w:szCs w:val="24"/>
                <w:lang w:eastAsia="zh-CN"/>
              </w:rPr>
            </w:pPr>
            <w:r>
              <w:rPr>
                <w:rFonts w:hint="eastAsia" w:ascii="Times New Roman" w:hAnsi="Times New Roman" w:eastAsia="仿宋_GB2312" w:cs="仿宋_GB2312"/>
                <w:color w:val="auto"/>
                <w:sz w:val="24"/>
                <w:szCs w:val="24"/>
                <w:lang w:eastAsia="zh-CN"/>
              </w:rPr>
              <w:t>—</w:t>
            </w:r>
          </w:p>
        </w:tc>
        <w:tc>
          <w:tcPr>
            <w:tcW w:w="1584" w:type="dxa"/>
            <w:tcBorders>
              <w:top w:val="single" w:color="999999" w:sz="6" w:space="0"/>
              <w:left w:val="single" w:color="999999" w:sz="6" w:space="0"/>
              <w:bottom w:val="single" w:color="999999" w:sz="6" w:space="0"/>
              <w:right w:val="single" w:color="999999" w:sz="6" w:space="0"/>
            </w:tcBorders>
            <w:noWrap w:val="0"/>
            <w:tcMar>
              <w:top w:w="100" w:type="dxa"/>
              <w:left w:w="120" w:type="dxa"/>
              <w:bottom w:w="100" w:type="dxa"/>
              <w:right w:w="120" w:type="dxa"/>
            </w:tcMar>
            <w:vAlign w:val="center"/>
          </w:tcPr>
          <w:p w14:paraId="08B97EA5">
            <w:pPr>
              <w:adjustRightInd w:val="0"/>
              <w:snapToGrid w:val="0"/>
              <w:spacing w:line="360" w:lineRule="auto"/>
              <w:ind w:firstLine="0"/>
              <w:jc w:val="center"/>
              <w:rPr>
                <w:rFonts w:hint="default"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rPr>
              <w:t>≥</w:t>
            </w:r>
            <w:r>
              <w:rPr>
                <w:rFonts w:hint="eastAsia" w:ascii="Times New Roman" w:hAnsi="Times New Roman" w:eastAsia="仿宋_GB2312" w:cs="仿宋_GB2312"/>
                <w:color w:val="auto"/>
                <w:sz w:val="24"/>
                <w:szCs w:val="24"/>
                <w:lang w:val="en-US" w:eastAsia="zh-CN"/>
              </w:rPr>
              <w:t>65</w:t>
            </w:r>
          </w:p>
        </w:tc>
        <w:tc>
          <w:tcPr>
            <w:tcW w:w="1416" w:type="dxa"/>
            <w:tcBorders>
              <w:top w:val="single" w:color="999999" w:sz="6" w:space="0"/>
              <w:left w:val="single" w:color="999999" w:sz="6" w:space="0"/>
              <w:bottom w:val="single" w:color="999999" w:sz="6" w:space="0"/>
              <w:right w:val="single" w:color="000000" w:sz="6" w:space="0"/>
            </w:tcBorders>
            <w:noWrap w:val="0"/>
            <w:tcMar>
              <w:top w:w="100" w:type="dxa"/>
              <w:left w:w="120" w:type="dxa"/>
              <w:bottom w:w="100" w:type="dxa"/>
              <w:right w:w="120" w:type="dxa"/>
            </w:tcMar>
            <w:vAlign w:val="center"/>
          </w:tcPr>
          <w:p w14:paraId="6341615D">
            <w:pPr>
              <w:adjustRightInd w:val="0"/>
              <w:snapToGrid w:val="0"/>
              <w:spacing w:line="360" w:lineRule="auto"/>
              <w:ind w:firstLine="0"/>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预期性</w:t>
            </w:r>
          </w:p>
        </w:tc>
      </w:tr>
      <w:tr w14:paraId="5E71638F">
        <w:tblPrEx>
          <w:tblBorders>
            <w:top w:val="single" w:color="7A8793" w:sz="4" w:space="0"/>
            <w:left w:val="single" w:color="7A8793" w:sz="4" w:space="0"/>
            <w:bottom w:val="single" w:color="7A8793" w:sz="4" w:space="0"/>
            <w:right w:val="single" w:color="7A8793" w:sz="4" w:space="0"/>
            <w:insideH w:val="single" w:color="7A8793" w:sz="4" w:space="0"/>
            <w:insideV w:val="single" w:color="7A8793" w:sz="4" w:space="0"/>
          </w:tblBorders>
          <w:tblCellMar>
            <w:top w:w="0" w:type="dxa"/>
            <w:left w:w="108" w:type="dxa"/>
            <w:bottom w:w="0" w:type="dxa"/>
            <w:right w:w="108" w:type="dxa"/>
          </w:tblCellMar>
        </w:tblPrEx>
        <w:trPr>
          <w:jc w:val="center"/>
        </w:trPr>
        <w:tc>
          <w:tcPr>
            <w:tcW w:w="4484" w:type="dxa"/>
            <w:tcBorders>
              <w:top w:val="single" w:color="999999" w:sz="6" w:space="0"/>
              <w:left w:val="single" w:color="000000" w:sz="6" w:space="0"/>
              <w:bottom w:val="single" w:color="000000" w:sz="6" w:space="0"/>
              <w:right w:val="single" w:color="999999" w:sz="6" w:space="0"/>
            </w:tcBorders>
            <w:noWrap w:val="0"/>
            <w:tcMar>
              <w:top w:w="100" w:type="dxa"/>
              <w:left w:w="120" w:type="dxa"/>
              <w:bottom w:w="100" w:type="dxa"/>
              <w:right w:w="120" w:type="dxa"/>
            </w:tcMar>
            <w:vAlign w:val="center"/>
          </w:tcPr>
          <w:p w14:paraId="4C3CA657">
            <w:pPr>
              <w:adjustRightInd w:val="0"/>
              <w:snapToGrid w:val="0"/>
              <w:spacing w:line="360" w:lineRule="auto"/>
              <w:ind w:firstLine="0"/>
              <w:rPr>
                <w:rFonts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eastAsia="zh-CN"/>
              </w:rPr>
              <w:t>8.新建居住区配套养老服务设施达标率（%）</w:t>
            </w:r>
          </w:p>
        </w:tc>
        <w:tc>
          <w:tcPr>
            <w:tcW w:w="1476" w:type="dxa"/>
            <w:tcBorders>
              <w:top w:val="single" w:color="999999" w:sz="6" w:space="0"/>
              <w:left w:val="single" w:color="999999" w:sz="6" w:space="0"/>
              <w:bottom w:val="single" w:color="000000" w:sz="6" w:space="0"/>
              <w:right w:val="single" w:color="999999" w:sz="6" w:space="0"/>
            </w:tcBorders>
            <w:noWrap w:val="0"/>
            <w:tcMar>
              <w:top w:w="100" w:type="dxa"/>
              <w:left w:w="120" w:type="dxa"/>
              <w:bottom w:w="100" w:type="dxa"/>
              <w:right w:w="120" w:type="dxa"/>
            </w:tcMar>
            <w:vAlign w:val="center"/>
          </w:tcPr>
          <w:p w14:paraId="58DF14B0">
            <w:pPr>
              <w:adjustRightInd w:val="0"/>
              <w:snapToGrid w:val="0"/>
              <w:spacing w:line="360" w:lineRule="auto"/>
              <w:ind w:firstLine="0"/>
              <w:jc w:val="center"/>
              <w:rPr>
                <w:rFonts w:ascii="仿宋_GB2312" w:hAnsi="仿宋_GB2312" w:eastAsia="仿宋_GB2312" w:cs="仿宋_GB2312"/>
                <w:color w:val="auto"/>
                <w:sz w:val="24"/>
                <w:szCs w:val="24"/>
              </w:rPr>
            </w:pPr>
            <w:r>
              <w:rPr>
                <w:rFonts w:hint="eastAsia" w:ascii="Times New Roman" w:hAnsi="Times New Roman" w:eastAsia="仿宋_GB2312" w:cs="仿宋_GB2312"/>
                <w:color w:val="auto"/>
                <w:sz w:val="24"/>
                <w:szCs w:val="24"/>
              </w:rPr>
              <w:t>10</w:t>
            </w:r>
            <w:r>
              <w:rPr>
                <w:rFonts w:hint="default" w:ascii="Times New Roman" w:hAnsi="Times New Roman" w:eastAsia="仿宋_GB2312" w:cs="仿宋_GB2312"/>
                <w:color w:val="auto"/>
                <w:sz w:val="24"/>
                <w:szCs w:val="24"/>
              </w:rPr>
              <w:t>0</w:t>
            </w:r>
          </w:p>
        </w:tc>
        <w:tc>
          <w:tcPr>
            <w:tcW w:w="1584" w:type="dxa"/>
            <w:tcBorders>
              <w:top w:val="single" w:color="999999" w:sz="6" w:space="0"/>
              <w:left w:val="single" w:color="999999" w:sz="6" w:space="0"/>
              <w:bottom w:val="single" w:color="000000" w:sz="6" w:space="0"/>
              <w:right w:val="single" w:color="999999" w:sz="6" w:space="0"/>
            </w:tcBorders>
            <w:noWrap w:val="0"/>
            <w:tcMar>
              <w:top w:w="100" w:type="dxa"/>
              <w:left w:w="120" w:type="dxa"/>
              <w:bottom w:w="100" w:type="dxa"/>
              <w:right w:w="120" w:type="dxa"/>
            </w:tcMar>
            <w:vAlign w:val="center"/>
          </w:tcPr>
          <w:p w14:paraId="5BAF4B2B">
            <w:pPr>
              <w:adjustRightInd w:val="0"/>
              <w:snapToGrid w:val="0"/>
              <w:spacing w:line="360" w:lineRule="auto"/>
              <w:ind w:firstLine="0"/>
              <w:jc w:val="center"/>
              <w:rPr>
                <w:rFonts w:ascii="仿宋_GB2312" w:hAnsi="仿宋_GB2312" w:eastAsia="仿宋_GB2312" w:cs="仿宋_GB2312"/>
                <w:color w:val="auto"/>
                <w:sz w:val="24"/>
                <w:szCs w:val="24"/>
              </w:rPr>
            </w:pPr>
            <w:r>
              <w:rPr>
                <w:rFonts w:hint="eastAsia" w:ascii="Times New Roman" w:hAnsi="Times New Roman" w:eastAsia="仿宋_GB2312" w:cs="仿宋_GB2312"/>
                <w:color w:val="auto"/>
                <w:sz w:val="24"/>
                <w:szCs w:val="24"/>
              </w:rPr>
              <w:t>100</w:t>
            </w:r>
          </w:p>
        </w:tc>
        <w:tc>
          <w:tcPr>
            <w:tcW w:w="1416" w:type="dxa"/>
            <w:tcBorders>
              <w:top w:val="single" w:color="999999" w:sz="6" w:space="0"/>
              <w:left w:val="single" w:color="999999" w:sz="6" w:space="0"/>
              <w:bottom w:val="single" w:color="000000" w:sz="6" w:space="0"/>
              <w:right w:val="single" w:color="000000" w:sz="6" w:space="0"/>
            </w:tcBorders>
            <w:noWrap w:val="0"/>
            <w:tcMar>
              <w:top w:w="100" w:type="dxa"/>
              <w:left w:w="120" w:type="dxa"/>
              <w:bottom w:w="100" w:type="dxa"/>
              <w:right w:w="120" w:type="dxa"/>
            </w:tcMar>
            <w:vAlign w:val="center"/>
          </w:tcPr>
          <w:p w14:paraId="1F6F6B65">
            <w:pPr>
              <w:adjustRightInd w:val="0"/>
              <w:snapToGrid w:val="0"/>
              <w:spacing w:line="360" w:lineRule="auto"/>
              <w:ind w:firstLine="0"/>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约束性</w:t>
            </w:r>
          </w:p>
        </w:tc>
      </w:tr>
    </w:tbl>
    <w:p w14:paraId="42E95266">
      <w:pPr>
        <w:spacing w:before="60" w:after="120" w:line="360" w:lineRule="auto"/>
        <w:ind w:firstLine="0"/>
        <w:rPr>
          <w:rFonts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eastAsia="zh-CN"/>
        </w:rPr>
        <w:t>注：①“—”表示</w:t>
      </w:r>
      <w:r>
        <w:rPr>
          <w:rFonts w:hint="eastAsia" w:ascii="Times New Roman" w:hAnsi="Times New Roman" w:eastAsia="仿宋_GB2312" w:cs="仿宋_GB2312"/>
          <w:color w:val="auto"/>
          <w:sz w:val="24"/>
          <w:szCs w:val="24"/>
          <w:lang w:eastAsia="zh-CN"/>
        </w:rPr>
        <w:t>2025</w:t>
      </w:r>
      <w:r>
        <w:rPr>
          <w:rFonts w:hint="eastAsia" w:ascii="仿宋_GB2312" w:hAnsi="仿宋_GB2312" w:eastAsia="仿宋_GB2312" w:cs="仿宋_GB2312"/>
          <w:color w:val="auto"/>
          <w:sz w:val="24"/>
          <w:szCs w:val="24"/>
          <w:lang w:eastAsia="zh-CN"/>
        </w:rPr>
        <w:t>年尚无同口径统计数据，规划实施后按国家统一口径核定；②国家后续正式调整指标统计口径的，按规定衔接。</w:t>
      </w:r>
    </w:p>
    <w:p w14:paraId="3F8BEA6A">
      <w:pPr>
        <w:numPr>
          <w:ilvl w:val="0"/>
          <w:numId w:val="1"/>
        </w:numPr>
        <w:spacing w:before="60" w:after="120" w:line="576" w:lineRule="exact"/>
        <w:ind w:firstLine="640" w:firstLineChars="200"/>
        <w:rPr>
          <w:rFonts w:ascii="黑体" w:hAnsi="黑体" w:eastAsia="黑体" w:cs="黑体"/>
          <w:color w:val="auto"/>
          <w:sz w:val="32"/>
          <w:szCs w:val="32"/>
          <w:lang w:eastAsia="zh-CN"/>
        </w:rPr>
      </w:pPr>
      <w:r>
        <w:rPr>
          <w:rFonts w:hint="eastAsia" w:ascii="黑体" w:hAnsi="黑体" w:eastAsia="黑体" w:cs="黑体"/>
          <w:color w:val="auto"/>
          <w:sz w:val="32"/>
          <w:szCs w:val="32"/>
          <w:lang w:eastAsia="zh-CN"/>
        </w:rPr>
        <w:t>重点任务</w:t>
      </w:r>
    </w:p>
    <w:p w14:paraId="6B4ED1F1">
      <w:pPr>
        <w:spacing w:before="60" w:after="120" w:line="576" w:lineRule="exact"/>
        <w:ind w:firstLine="640" w:firstLineChars="200"/>
        <w:rPr>
          <w:rFonts w:ascii="楷体_GB2312" w:hAnsi="楷体_GB2312" w:eastAsia="楷体_GB2312" w:cs="楷体_GB2312"/>
          <w:color w:val="auto"/>
          <w:sz w:val="32"/>
          <w:szCs w:val="32"/>
          <w:lang w:eastAsia="zh-CN"/>
        </w:rPr>
      </w:pPr>
      <w:r>
        <w:rPr>
          <w:rFonts w:hint="eastAsia" w:ascii="楷体_GB2312" w:hAnsi="楷体_GB2312" w:eastAsia="楷体_GB2312" w:cs="楷体_GB2312"/>
          <w:color w:val="auto"/>
          <w:sz w:val="32"/>
          <w:szCs w:val="32"/>
          <w:lang w:eastAsia="zh-CN"/>
        </w:rPr>
        <w:t>（一）健全城乡三级养老服务网络</w:t>
      </w:r>
    </w:p>
    <w:p w14:paraId="4764A22B">
      <w:pPr>
        <w:spacing w:line="576" w:lineRule="exact"/>
        <w:ind w:firstLine="643" w:firstLineChars="200"/>
        <w:rPr>
          <w:rFonts w:ascii="仿宋_GB2312" w:hAnsi="仿宋_GB2312" w:eastAsia="仿宋_GB2312" w:cs="仿宋_GB2312"/>
          <w:color w:val="auto"/>
          <w:sz w:val="32"/>
          <w:szCs w:val="32"/>
          <w:lang w:eastAsia="zh-CN"/>
        </w:rPr>
      </w:pPr>
      <w:r>
        <w:rPr>
          <w:rFonts w:hint="eastAsia" w:ascii="方正仿宋_GBK" w:hAnsi="方正仿宋_GBK" w:eastAsia="方正仿宋_GBK" w:cs="方正仿宋_GBK"/>
          <w:b/>
          <w:bCs/>
          <w:color w:val="auto"/>
          <w:sz w:val="32"/>
          <w:szCs w:val="32"/>
          <w:highlight w:val="none"/>
          <w:lang w:val="en-US" w:eastAsia="zh-CN"/>
        </w:rPr>
        <w:t>提升县域养老服务专业水平</w:t>
      </w:r>
      <w:r>
        <w:rPr>
          <w:rFonts w:hint="eastAsia" w:ascii="仿宋_GB2312" w:hAnsi="仿宋_GB2312" w:eastAsia="仿宋_GB2312" w:cs="仿宋_GB2312"/>
          <w:color w:val="auto"/>
          <w:sz w:val="32"/>
          <w:szCs w:val="32"/>
          <w:lang w:eastAsia="zh-CN"/>
        </w:rPr>
        <w:t>。整合特困人员供养服务机构、养老服务信息系统、养老服务指导中心等力量，按照统一功能标准建设县级综合养老服务管理平台，发挥资源统筹、服务示范、行业指导、应急支援、人员培训和数据汇集等作用。加强县域养老服务供需衔接，推动基本养老服务对象识别、需求评估、服务转介和资源调度有效贯通。</w:t>
      </w:r>
    </w:p>
    <w:p w14:paraId="33754EBB">
      <w:pPr>
        <w:spacing w:line="576" w:lineRule="exact"/>
        <w:ind w:firstLine="643" w:firstLineChars="200"/>
        <w:rPr>
          <w:rFonts w:ascii="仿宋_GB2312" w:hAnsi="仿宋_GB2312" w:eastAsia="仿宋_GB2312" w:cs="仿宋_GB2312"/>
          <w:color w:val="auto"/>
          <w:sz w:val="32"/>
          <w:szCs w:val="32"/>
          <w:lang w:eastAsia="zh-CN"/>
        </w:rPr>
      </w:pPr>
      <w:r>
        <w:rPr>
          <w:rFonts w:hint="eastAsia" w:ascii="方正仿宋_GBK" w:hAnsi="方正仿宋_GBK" w:eastAsia="方正仿宋_GBK" w:cs="方正仿宋_GBK"/>
          <w:b/>
          <w:bCs/>
          <w:color w:val="auto"/>
          <w:sz w:val="32"/>
          <w:szCs w:val="32"/>
          <w:highlight w:val="none"/>
          <w:lang w:val="en-US" w:eastAsia="zh-CN"/>
        </w:rPr>
        <w:t>整合乡镇（街道）养老服务资源</w:t>
      </w:r>
      <w:r>
        <w:rPr>
          <w:rFonts w:hint="eastAsia" w:ascii="仿宋_GB2312" w:hAnsi="仿宋_GB2312" w:eastAsia="仿宋_GB2312" w:cs="仿宋_GB2312"/>
          <w:color w:val="auto"/>
          <w:sz w:val="32"/>
          <w:szCs w:val="32"/>
          <w:lang w:eastAsia="zh-CN"/>
        </w:rPr>
        <w:t>。结合乡镇敬老院分类改革，选择区位适宜、基础较好、辐射能力较强的养老机构，通过提质改造、转型升级建设区域养老服务中心，以点带面辐射邻近3—5个乡镇（街道）养老服务需求。强化专业照护、短期托养、助餐配送、康复护理、上门服务、探访关爱、服务转介和应急支援功能，带动周边村（社区）养老服务设施运行。支持边远地区、民族地区和山区因地制宜发展流动式、巡回式养老服务。</w:t>
      </w:r>
    </w:p>
    <w:p w14:paraId="4FBFB681">
      <w:pPr>
        <w:spacing w:line="576" w:lineRule="exact"/>
        <w:ind w:firstLine="643" w:firstLineChars="200"/>
        <w:rPr>
          <w:rFonts w:ascii="仿宋_GB2312" w:hAnsi="仿宋_GB2312" w:eastAsia="仿宋_GB2312" w:cs="仿宋_GB2312"/>
          <w:color w:val="auto"/>
          <w:sz w:val="32"/>
          <w:szCs w:val="32"/>
          <w:lang w:eastAsia="zh-CN"/>
        </w:rPr>
      </w:pPr>
      <w:r>
        <w:rPr>
          <w:rFonts w:hint="eastAsia" w:ascii="方正仿宋_GBK" w:hAnsi="方正仿宋_GBK" w:eastAsia="方正仿宋_GBK" w:cs="方正仿宋_GBK"/>
          <w:b/>
          <w:bCs/>
          <w:color w:val="auto"/>
          <w:sz w:val="32"/>
          <w:szCs w:val="32"/>
          <w:highlight w:val="none"/>
          <w:lang w:val="en-US" w:eastAsia="zh-CN"/>
        </w:rPr>
        <w:t>加快村（社区）养老服务设施建设</w:t>
      </w:r>
      <w:r>
        <w:rPr>
          <w:rFonts w:hint="eastAsia" w:ascii="仿宋_GB2312" w:hAnsi="仿宋_GB2312" w:eastAsia="仿宋_GB2312" w:cs="仿宋_GB2312"/>
          <w:color w:val="auto"/>
          <w:sz w:val="32"/>
          <w:szCs w:val="32"/>
          <w:lang w:eastAsia="zh-CN"/>
        </w:rPr>
        <w:t>。按照以需定供、就近便利、功能实用的原则，统筹利用社区综合服务设施、党群服务中心、农村公共服务设施和其他闲置资源，发展嵌入式社区养老服务设施、互助性养老服务站点和综合为老服务场所，探索建设“一老一小”服务综合体。完善日间照料、助餐、文化活动、探访关爱、政策咨询和服务转介等功能，推动村（社区）养老服务设施稳定运行。</w:t>
      </w:r>
    </w:p>
    <w:tbl>
      <w:tblPr>
        <w:tblStyle w:val="5"/>
        <w:tblW w:w="8960" w:type="dxa"/>
        <w:jc w:val="center"/>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Layout w:type="autofit"/>
        <w:tblCellMar>
          <w:top w:w="0" w:type="dxa"/>
          <w:left w:w="108" w:type="dxa"/>
          <w:bottom w:w="0" w:type="dxa"/>
          <w:right w:w="108" w:type="dxa"/>
        </w:tblCellMar>
      </w:tblPr>
      <w:tblGrid>
        <w:gridCol w:w="8960"/>
      </w:tblGrid>
      <w:tr w14:paraId="09F03686">
        <w:tblPrEx>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CellMar>
            <w:top w:w="0" w:type="dxa"/>
            <w:left w:w="108" w:type="dxa"/>
            <w:bottom w:w="0" w:type="dxa"/>
            <w:right w:w="108" w:type="dxa"/>
          </w:tblCellMar>
        </w:tblPrEx>
        <w:trPr>
          <w:trHeight w:val="624" w:hRule="atLeast"/>
          <w:jc w:val="center"/>
        </w:trPr>
        <w:tc>
          <w:tcPr>
            <w:tcW w:w="8960" w:type="dxa"/>
            <w:shd w:val="clear" w:color="auto" w:fill="FFFFFF"/>
            <w:noWrap w:val="0"/>
            <w:tcMar>
              <w:top w:w="100" w:type="dxa"/>
              <w:left w:w="120" w:type="dxa"/>
              <w:bottom w:w="100" w:type="dxa"/>
              <w:right w:w="120" w:type="dxa"/>
            </w:tcMar>
            <w:vAlign w:val="center"/>
          </w:tcPr>
          <w:p w14:paraId="7C750AAC">
            <w:pPr>
              <w:keepNext/>
              <w:snapToGrid w:val="0"/>
              <w:spacing w:line="576" w:lineRule="exact"/>
              <w:ind w:firstLine="560" w:firstLineChars="200"/>
              <w:jc w:val="center"/>
              <w:rPr>
                <w:rFonts w:ascii="仿宋_GB2312" w:hAnsi="仿宋_GB2312" w:eastAsia="仿宋_GB2312" w:cs="仿宋_GB2312"/>
                <w:color w:val="auto"/>
                <w:sz w:val="32"/>
                <w:szCs w:val="32"/>
                <w:lang w:eastAsia="zh-CN"/>
              </w:rPr>
            </w:pPr>
            <w:r>
              <w:rPr>
                <w:rFonts w:hint="eastAsia" w:ascii="黑体" w:hAnsi="黑体" w:eastAsia="黑体" w:cs="黑体"/>
                <w:bCs/>
                <w:color w:val="auto"/>
                <w:sz w:val="28"/>
                <w:szCs w:val="28"/>
                <w:lang w:eastAsia="zh-CN"/>
              </w:rPr>
              <w:t>专栏1  城乡三级养老服务网络建设工程</w:t>
            </w:r>
          </w:p>
        </w:tc>
      </w:tr>
      <w:tr w14:paraId="7250E12B">
        <w:tblPrEx>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CellMar>
            <w:top w:w="0" w:type="dxa"/>
            <w:left w:w="108" w:type="dxa"/>
            <w:bottom w:w="0" w:type="dxa"/>
            <w:right w:w="108" w:type="dxa"/>
          </w:tblCellMar>
        </w:tblPrEx>
        <w:trPr>
          <w:jc w:val="center"/>
        </w:trPr>
        <w:tc>
          <w:tcPr>
            <w:tcW w:w="8960" w:type="dxa"/>
            <w:noWrap w:val="0"/>
            <w:tcMar>
              <w:top w:w="130" w:type="dxa"/>
              <w:left w:w="180" w:type="dxa"/>
              <w:bottom w:w="130" w:type="dxa"/>
              <w:right w:w="180" w:type="dxa"/>
            </w:tcMar>
            <w:vAlign w:val="top"/>
          </w:tcPr>
          <w:p w14:paraId="2BBB32D2">
            <w:pPr>
              <w:keepLines/>
              <w:spacing w:after="80"/>
              <w:ind w:firstLine="562" w:firstLineChars="200"/>
              <w:rPr>
                <w:rFonts w:ascii="仿宋_GB2312" w:hAnsi="仿宋_GB2312" w:eastAsia="仿宋_GB2312" w:cs="仿宋_GB2312"/>
                <w:color w:val="auto"/>
                <w:sz w:val="28"/>
                <w:szCs w:val="28"/>
                <w:lang w:eastAsia="zh-CN"/>
              </w:rPr>
            </w:pPr>
            <w:r>
              <w:rPr>
                <w:rFonts w:hint="eastAsia" w:ascii="仿宋_GB2312" w:hAnsi="仿宋_GB2312" w:eastAsia="仿宋_GB2312" w:cs="仿宋_GB2312"/>
                <w:b/>
                <w:color w:val="auto"/>
                <w:sz w:val="28"/>
                <w:szCs w:val="28"/>
                <w:lang w:eastAsia="zh-CN"/>
              </w:rPr>
              <w:t>1.县级养老服务枢纽提质项目。</w:t>
            </w:r>
            <w:r>
              <w:rPr>
                <w:rFonts w:hint="eastAsia" w:ascii="仿宋_GB2312" w:hAnsi="仿宋_GB2312" w:eastAsia="仿宋_GB2312" w:cs="仿宋_GB2312"/>
                <w:bCs/>
                <w:color w:val="auto"/>
                <w:sz w:val="28"/>
                <w:szCs w:val="28"/>
                <w:lang w:eastAsia="zh-CN"/>
              </w:rPr>
              <w:t>结合各县实际情况，</w:t>
            </w:r>
            <w:r>
              <w:rPr>
                <w:rFonts w:hint="eastAsia" w:ascii="仿宋_GB2312" w:hAnsi="仿宋_GB2312" w:eastAsia="仿宋_GB2312" w:cs="仿宋_GB2312"/>
                <w:color w:val="auto"/>
                <w:sz w:val="28"/>
                <w:szCs w:val="28"/>
                <w:lang w:eastAsia="zh-CN"/>
              </w:rPr>
              <w:t>依托具备条件的县级特困人员供养服务机构、老年养护院和现有信息系统，建设县域综合养老服务管理平台建设，到</w:t>
            </w:r>
            <w:r>
              <w:rPr>
                <w:rFonts w:hint="eastAsia" w:ascii="Times New Roman" w:hAnsi="Times New Roman" w:eastAsia="仿宋_GB2312" w:cs="仿宋_GB2312"/>
                <w:color w:val="auto"/>
                <w:sz w:val="28"/>
                <w:szCs w:val="28"/>
                <w:lang w:eastAsia="zh-CN"/>
              </w:rPr>
              <w:t>2030</w:t>
            </w:r>
            <w:r>
              <w:rPr>
                <w:rFonts w:hint="eastAsia" w:ascii="仿宋_GB2312" w:hAnsi="仿宋_GB2312" w:eastAsia="仿宋_GB2312" w:cs="仿宋_GB2312"/>
                <w:color w:val="auto"/>
                <w:sz w:val="28"/>
                <w:szCs w:val="28"/>
                <w:lang w:eastAsia="zh-CN"/>
              </w:rPr>
              <w:t>年，实现全省县级综合养老服务管理平台覆盖率达到</w:t>
            </w:r>
            <w:r>
              <w:rPr>
                <w:rFonts w:hint="eastAsia" w:ascii="Times New Roman" w:hAnsi="Times New Roman" w:eastAsia="仿宋_GB2312" w:cs="仿宋_GB2312"/>
                <w:color w:val="auto"/>
                <w:sz w:val="28"/>
                <w:szCs w:val="28"/>
                <w:lang w:eastAsia="zh-CN"/>
              </w:rPr>
              <w:t>80</w:t>
            </w:r>
            <w:r>
              <w:rPr>
                <w:rFonts w:hint="eastAsia" w:ascii="仿宋_GB2312" w:hAnsi="仿宋_GB2312" w:eastAsia="仿宋_GB2312" w:cs="仿宋_GB2312"/>
                <w:color w:val="auto"/>
                <w:sz w:val="28"/>
                <w:szCs w:val="28"/>
                <w:lang w:eastAsia="zh-CN"/>
              </w:rPr>
              <w:t>%以上。</w:t>
            </w:r>
          </w:p>
          <w:p w14:paraId="75A0EA21">
            <w:pPr>
              <w:keepLines/>
              <w:spacing w:after="80"/>
              <w:ind w:firstLine="562" w:firstLineChars="200"/>
              <w:rPr>
                <w:rFonts w:ascii="仿宋_GB2312" w:hAnsi="仿宋_GB2312" w:eastAsia="仿宋_GB2312" w:cs="仿宋_GB2312"/>
                <w:color w:val="auto"/>
                <w:sz w:val="28"/>
                <w:szCs w:val="28"/>
                <w:lang w:eastAsia="zh-CN"/>
              </w:rPr>
            </w:pPr>
            <w:r>
              <w:rPr>
                <w:rFonts w:hint="eastAsia" w:ascii="仿宋_GB2312" w:hAnsi="仿宋_GB2312" w:eastAsia="仿宋_GB2312" w:cs="仿宋_GB2312"/>
                <w:b/>
                <w:color w:val="auto"/>
                <w:sz w:val="28"/>
                <w:szCs w:val="28"/>
                <w:lang w:eastAsia="zh-CN"/>
              </w:rPr>
              <w:t>2.乡镇（街道）区域养老服务中心补短板项目。</w:t>
            </w:r>
            <w:r>
              <w:rPr>
                <w:rFonts w:hint="eastAsia" w:ascii="仿宋_GB2312" w:hAnsi="仿宋_GB2312" w:eastAsia="仿宋_GB2312" w:cs="仿宋_GB2312"/>
                <w:color w:val="auto"/>
                <w:sz w:val="28"/>
                <w:szCs w:val="28"/>
                <w:lang w:eastAsia="zh-CN"/>
              </w:rPr>
              <w:t>结合乡镇实际情况，设置区域养老服务中心，提升专业服务水平，发展“中心＋站点”服务，带动周边村（社区）养老服务设施运行。到</w:t>
            </w:r>
            <w:r>
              <w:rPr>
                <w:rFonts w:hint="eastAsia" w:ascii="Times New Roman" w:hAnsi="Times New Roman" w:eastAsia="仿宋_GB2312" w:cs="仿宋_GB2312"/>
                <w:color w:val="auto"/>
                <w:sz w:val="28"/>
                <w:szCs w:val="28"/>
                <w:lang w:eastAsia="zh-CN"/>
              </w:rPr>
              <w:t>2030</w:t>
            </w:r>
            <w:r>
              <w:rPr>
                <w:rFonts w:hint="eastAsia" w:ascii="仿宋_GB2312" w:hAnsi="仿宋_GB2312" w:eastAsia="仿宋_GB2312" w:cs="仿宋_GB2312"/>
                <w:color w:val="auto"/>
                <w:sz w:val="28"/>
                <w:szCs w:val="28"/>
                <w:lang w:eastAsia="zh-CN"/>
              </w:rPr>
              <w:t>年，乡镇（街道）区域养老服务中心覆盖率达到</w:t>
            </w:r>
            <w:r>
              <w:rPr>
                <w:rFonts w:hint="eastAsia" w:ascii="Times New Roman" w:hAnsi="Times New Roman" w:eastAsia="仿宋_GB2312" w:cs="仿宋_GB2312"/>
                <w:color w:val="auto"/>
                <w:sz w:val="28"/>
                <w:szCs w:val="28"/>
                <w:lang w:eastAsia="zh-CN"/>
              </w:rPr>
              <w:t>60</w:t>
            </w:r>
            <w:r>
              <w:rPr>
                <w:rFonts w:hint="eastAsia" w:ascii="仿宋_GB2312" w:hAnsi="仿宋_GB2312" w:eastAsia="仿宋_GB2312" w:cs="仿宋_GB2312"/>
                <w:color w:val="auto"/>
                <w:sz w:val="28"/>
                <w:szCs w:val="28"/>
                <w:lang w:eastAsia="zh-CN"/>
              </w:rPr>
              <w:t>%以上。</w:t>
            </w:r>
          </w:p>
          <w:p w14:paraId="36D61F96">
            <w:pPr>
              <w:keepLines/>
              <w:spacing w:after="80"/>
              <w:ind w:firstLine="562" w:firstLineChars="200"/>
              <w:rPr>
                <w:rFonts w:ascii="仿宋_GB2312" w:hAnsi="仿宋_GB2312" w:eastAsia="仿宋_GB2312" w:cs="仿宋_GB2312"/>
                <w:color w:val="auto"/>
                <w:sz w:val="28"/>
                <w:szCs w:val="28"/>
                <w:lang w:eastAsia="zh-CN"/>
              </w:rPr>
            </w:pPr>
            <w:r>
              <w:rPr>
                <w:rFonts w:hint="eastAsia" w:ascii="仿宋_GB2312" w:hAnsi="仿宋_GB2312" w:eastAsia="仿宋_GB2312" w:cs="仿宋_GB2312"/>
                <w:b/>
                <w:color w:val="auto"/>
                <w:sz w:val="28"/>
                <w:szCs w:val="28"/>
                <w:lang w:eastAsia="zh-CN"/>
              </w:rPr>
              <w:t>3.村（社区）养老服务站点活化项目。</w:t>
            </w:r>
            <w:r>
              <w:rPr>
                <w:rFonts w:hint="eastAsia" w:ascii="仿宋_GB2312" w:hAnsi="仿宋_GB2312" w:eastAsia="仿宋_GB2312" w:cs="仿宋_GB2312"/>
                <w:color w:val="auto"/>
                <w:sz w:val="28"/>
                <w:szCs w:val="28"/>
                <w:lang w:eastAsia="zh-CN"/>
              </w:rPr>
              <w:t>开展设施摸底评估和分类处置，盘活党群服务中心、社区综合服务设施及农村闲置资源。到</w:t>
            </w:r>
            <w:r>
              <w:rPr>
                <w:rFonts w:hint="eastAsia" w:ascii="Times New Roman" w:hAnsi="Times New Roman" w:eastAsia="仿宋_GB2312" w:cs="仿宋_GB2312"/>
                <w:color w:val="auto"/>
                <w:sz w:val="28"/>
                <w:szCs w:val="28"/>
                <w:lang w:eastAsia="zh-CN"/>
              </w:rPr>
              <w:t>2030</w:t>
            </w:r>
            <w:r>
              <w:rPr>
                <w:rFonts w:hint="eastAsia" w:ascii="仿宋_GB2312" w:hAnsi="仿宋_GB2312" w:eastAsia="仿宋_GB2312" w:cs="仿宋_GB2312"/>
                <w:color w:val="auto"/>
                <w:sz w:val="28"/>
                <w:szCs w:val="28"/>
                <w:lang w:eastAsia="zh-CN"/>
              </w:rPr>
              <w:t>年，社区（村）养老服务机构和设施覆盖率保持</w:t>
            </w:r>
            <w:r>
              <w:rPr>
                <w:rFonts w:hint="eastAsia" w:ascii="Times New Roman" w:hAnsi="Times New Roman" w:eastAsia="仿宋_GB2312" w:cs="仿宋_GB2312"/>
                <w:color w:val="auto"/>
                <w:sz w:val="28"/>
                <w:szCs w:val="28"/>
                <w:lang w:val="en-US" w:eastAsia="zh-CN"/>
              </w:rPr>
              <w:t>100%</w:t>
            </w:r>
            <w:r>
              <w:rPr>
                <w:rFonts w:hint="eastAsia" w:ascii="仿宋_GB2312" w:hAnsi="仿宋_GB2312" w:eastAsia="仿宋_GB2312" w:cs="仿宋_GB2312"/>
                <w:color w:val="auto"/>
                <w:sz w:val="28"/>
                <w:szCs w:val="28"/>
                <w:lang w:eastAsia="zh-CN"/>
              </w:rPr>
              <w:t>，设施运行和服务质效持续提升。</w:t>
            </w:r>
          </w:p>
          <w:p w14:paraId="354382BE">
            <w:pPr>
              <w:ind w:firstLine="562" w:firstLineChars="200"/>
              <w:rPr>
                <w:color w:val="auto"/>
                <w:lang w:eastAsia="zh-CN"/>
              </w:rPr>
            </w:pPr>
            <w:r>
              <w:rPr>
                <w:rFonts w:hint="eastAsia" w:ascii="仿宋_GB2312" w:hAnsi="仿宋_GB2312" w:eastAsia="仿宋_GB2312" w:cs="仿宋_GB2312"/>
                <w:b/>
                <w:color w:val="auto"/>
                <w:sz w:val="28"/>
                <w:szCs w:val="28"/>
                <w:lang w:eastAsia="zh-CN"/>
              </w:rPr>
              <w:t>4.边远地区流动养老服务项目。</w:t>
            </w:r>
            <w:r>
              <w:rPr>
                <w:rFonts w:hint="eastAsia" w:ascii="仿宋_GB2312" w:hAnsi="仿宋_GB2312" w:eastAsia="仿宋_GB2312" w:cs="仿宋_GB2312"/>
                <w:bCs/>
                <w:color w:val="auto"/>
                <w:sz w:val="28"/>
                <w:szCs w:val="28"/>
                <w:lang w:eastAsia="zh-CN"/>
              </w:rPr>
              <w:t>对边境地区、民族地区和山区给与更多支持，灵活开展助餐配送、上门服务、巡回服务、探访关爱、邻里互助和应急转介，扩大养老服务可及范围。</w:t>
            </w:r>
          </w:p>
        </w:tc>
      </w:tr>
    </w:tbl>
    <w:p w14:paraId="79C6F232">
      <w:pPr>
        <w:pStyle w:val="3"/>
        <w:widowControl w:val="0"/>
        <w:spacing w:line="576" w:lineRule="exact"/>
        <w:ind w:firstLine="480" w:firstLineChars="150"/>
        <w:rPr>
          <w:rFonts w:ascii="楷体_GB2312" w:hAnsi="楷体_GB2312" w:eastAsia="楷体_GB2312" w:cs="楷体_GB2312"/>
          <w:b w:val="0"/>
          <w:bCs w:val="0"/>
          <w:color w:val="auto"/>
          <w:szCs w:val="32"/>
          <w:lang w:eastAsia="zh-CN"/>
        </w:rPr>
      </w:pPr>
      <w:r>
        <w:rPr>
          <w:rFonts w:hint="eastAsia" w:ascii="楷体_GB2312" w:hAnsi="楷体_GB2312" w:eastAsia="楷体_GB2312" w:cs="楷体_GB2312"/>
          <w:b w:val="0"/>
          <w:bCs w:val="0"/>
          <w:color w:val="auto"/>
          <w:szCs w:val="32"/>
          <w:lang w:eastAsia="zh-CN"/>
        </w:rPr>
        <w:t>（二）完善多元化养老服务体系</w:t>
      </w:r>
    </w:p>
    <w:p w14:paraId="79FD84D7">
      <w:pPr>
        <w:widowControl w:val="0"/>
        <w:spacing w:line="576" w:lineRule="exact"/>
        <w:ind w:firstLine="640" w:firstLineChars="200"/>
        <w:rPr>
          <w:rFonts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巩固居家养老基础作用。持续发展建设家庭养老床位，加强家庭照护者技能培训，支持及培育居家上门养老服务主体，扩大居家上门服务供给。落实特殊困难老年人基本养老服务和中度以上失能老年人养老服务消费补贴政策，推动专业服务进家庭。</w:t>
      </w:r>
    </w:p>
    <w:p w14:paraId="41288A4B">
      <w:pPr>
        <w:widowControl w:val="0"/>
        <w:spacing w:line="576" w:lineRule="exact"/>
        <w:ind w:firstLine="640" w:firstLineChars="200"/>
        <w:rPr>
          <w:rFonts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强化社区养老依托作用。落实新建居住区配套养老服务设施建设及移交要求，结合老旧小区改造、完整社区建设和一刻钟便民生活圈补齐设施短板。加大闲置资产盘活力度，发展嵌入式、综合性社区养老服务，推广</w:t>
      </w:r>
      <w:r>
        <w:rPr>
          <w:rFonts w:hint="cs" w:ascii="仿宋_GB2312" w:hAnsi="仿宋_GB2312" w:eastAsia="仿宋_GB2312" w:cs="仿宋_GB2312"/>
          <w:color w:val="auto"/>
          <w:sz w:val="32"/>
          <w:szCs w:val="32"/>
          <w:cs/>
          <w:lang w:eastAsia="zh-CN"/>
        </w:rPr>
        <w:t>“</w:t>
      </w:r>
      <w:r>
        <w:rPr>
          <w:rFonts w:hint="eastAsia" w:ascii="仿宋_GB2312" w:hAnsi="仿宋_GB2312" w:eastAsia="仿宋_GB2312" w:cs="仿宋_GB2312"/>
          <w:color w:val="auto"/>
          <w:sz w:val="32"/>
          <w:szCs w:val="32"/>
          <w:lang w:eastAsia="zh-CN"/>
        </w:rPr>
        <w:t>社区＋物业＋养老</w:t>
      </w:r>
      <w:r>
        <w:rPr>
          <w:rFonts w:hint="cs" w:ascii="仿宋_GB2312" w:hAnsi="仿宋_GB2312" w:eastAsia="仿宋_GB2312" w:cs="仿宋_GB2312"/>
          <w:color w:val="auto"/>
          <w:sz w:val="32"/>
          <w:szCs w:val="32"/>
          <w:cs/>
          <w:lang w:eastAsia="zh-CN"/>
        </w:rPr>
        <w:t>”</w:t>
      </w:r>
      <w:r>
        <w:rPr>
          <w:rFonts w:hint="eastAsia" w:ascii="仿宋_GB2312" w:hAnsi="仿宋_GB2312" w:eastAsia="仿宋_GB2312" w:cs="仿宋_GB2312"/>
          <w:color w:val="auto"/>
          <w:sz w:val="32"/>
          <w:szCs w:val="32"/>
          <w:lang w:eastAsia="zh-CN"/>
        </w:rPr>
        <w:t>、</w:t>
      </w:r>
      <w:r>
        <w:rPr>
          <w:rFonts w:hint="cs" w:ascii="仿宋_GB2312" w:hAnsi="仿宋_GB2312" w:eastAsia="仿宋_GB2312" w:cs="仿宋_GB2312"/>
          <w:color w:val="auto"/>
          <w:sz w:val="32"/>
          <w:szCs w:val="32"/>
          <w:cs/>
          <w:lang w:eastAsia="zh-CN"/>
        </w:rPr>
        <w:t>“</w:t>
      </w:r>
      <w:r>
        <w:rPr>
          <w:rFonts w:hint="eastAsia" w:ascii="仿宋_GB2312" w:hAnsi="仿宋_GB2312" w:eastAsia="仿宋_GB2312" w:cs="仿宋_GB2312"/>
          <w:color w:val="auto"/>
          <w:sz w:val="32"/>
          <w:szCs w:val="32"/>
          <w:lang w:eastAsia="zh-CN"/>
        </w:rPr>
        <w:t>互联网＋护理</w:t>
      </w:r>
      <w:r>
        <w:rPr>
          <w:rFonts w:hint="cs" w:ascii="仿宋_GB2312" w:hAnsi="仿宋_GB2312" w:eastAsia="仿宋_GB2312" w:cs="仿宋_GB2312"/>
          <w:color w:val="auto"/>
          <w:sz w:val="32"/>
          <w:szCs w:val="32"/>
          <w:cs/>
          <w:lang w:eastAsia="zh-CN"/>
        </w:rPr>
        <w:t>”</w:t>
      </w:r>
      <w:r>
        <w:rPr>
          <w:rFonts w:hint="eastAsia" w:ascii="仿宋_GB2312" w:hAnsi="仿宋_GB2312" w:eastAsia="仿宋_GB2312" w:cs="仿宋_GB2312"/>
          <w:color w:val="auto"/>
          <w:sz w:val="32"/>
          <w:szCs w:val="32"/>
          <w:lang w:eastAsia="zh-CN"/>
        </w:rPr>
        <w:t>等模式，加强培育专业化、连锁化、品牌化社区养老服务机构。完善政府购买服务、公建民营、民办公助等机制，支持养老机构、家政物业企业、社会组织等提供日间照料、助餐、康复和居家上门服务。</w:t>
      </w:r>
    </w:p>
    <w:p w14:paraId="038AF248">
      <w:pPr>
        <w:spacing w:line="576" w:lineRule="exact"/>
        <w:ind w:firstLine="640" w:firstLineChars="200"/>
        <w:rPr>
          <w:rFonts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优化机构养老专业支撑作用。推进兜底保障型、普惠支持型和完全市场型养老机构分类改革，完善公办养老机构运营机制，规范公建民营和委托运营，鼓励社会力量依法新建、改扩建养老服务设施。加大财政对兜底、普惠型养老机构的支持力度。增加护理型床位供给，鼓励养老机构设置失能失智、认知症照护专区（床位），发展专业照护服务。巩固县级失能特困人员供养服务机构全覆盖成果，支持有条件的州（市）建设失智老年人照护服务机构。</w:t>
      </w:r>
    </w:p>
    <w:p w14:paraId="6F4B71B0">
      <w:pPr>
        <w:spacing w:line="576" w:lineRule="exact"/>
        <w:ind w:firstLine="640" w:firstLineChars="200"/>
        <w:rPr>
          <w:rFonts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促进医养康养结合。支持具备条件的养老机构依法设置医疗机构，积极吸纳符合条件的医养结合机构内设医疗机构进入医保定点范围。支持将符合条件的医养结合机构、基层医疗卫生机构纳入长期护理保险定点服务机构范围。健全养老机构与医疗卫生机构签约合作和双向转介机制，推动医疗机构老年护理、康复、安宁疗护和中医药（少数民族医药）适宜技术等服务向社区和居家延伸。协同推动具备条件的县级公立综合医院规范设置老年医学科（老年病科），支持部分医疗机构转型为康复医院、护理院和安宁疗护机构，推动中医药（少数民族医药）适宜技术融入养老服务。稳妥推进长期护理保险制度建设，做好长期护理保险与居家、社区、机构护理服务衔接。</w:t>
      </w:r>
    </w:p>
    <w:tbl>
      <w:tblPr>
        <w:tblStyle w:val="5"/>
        <w:tblW w:w="8960" w:type="dxa"/>
        <w:jc w:val="center"/>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Layout w:type="autofit"/>
        <w:tblCellMar>
          <w:top w:w="0" w:type="dxa"/>
          <w:left w:w="108" w:type="dxa"/>
          <w:bottom w:w="0" w:type="dxa"/>
          <w:right w:w="108" w:type="dxa"/>
        </w:tblCellMar>
      </w:tblPr>
      <w:tblGrid>
        <w:gridCol w:w="8960"/>
      </w:tblGrid>
      <w:tr w14:paraId="5058BF15">
        <w:tblPrEx>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CellMar>
            <w:top w:w="0" w:type="dxa"/>
            <w:left w:w="108" w:type="dxa"/>
            <w:bottom w:w="0" w:type="dxa"/>
            <w:right w:w="108" w:type="dxa"/>
          </w:tblCellMar>
        </w:tblPrEx>
        <w:trPr>
          <w:cantSplit/>
          <w:trHeight w:val="624" w:hRule="atLeast"/>
          <w:jc w:val="center"/>
        </w:trPr>
        <w:tc>
          <w:tcPr>
            <w:tcW w:w="8960" w:type="dxa"/>
            <w:shd w:val="clear" w:color="auto" w:fill="FFFFFF"/>
            <w:noWrap w:val="0"/>
            <w:tcMar>
              <w:top w:w="100" w:type="dxa"/>
              <w:left w:w="120" w:type="dxa"/>
              <w:bottom w:w="100" w:type="dxa"/>
              <w:right w:w="120" w:type="dxa"/>
            </w:tcMar>
            <w:vAlign w:val="center"/>
          </w:tcPr>
          <w:p w14:paraId="0C5FFEE4">
            <w:pPr>
              <w:keepNext/>
              <w:snapToGrid w:val="0"/>
              <w:spacing w:line="576" w:lineRule="exact"/>
              <w:ind w:firstLine="560" w:firstLineChars="200"/>
              <w:jc w:val="center"/>
              <w:rPr>
                <w:rFonts w:ascii="仿宋_GB2312" w:hAnsi="仿宋_GB2312" w:eastAsia="仿宋_GB2312" w:cs="仿宋_GB2312"/>
                <w:color w:val="auto"/>
                <w:sz w:val="32"/>
                <w:szCs w:val="32"/>
                <w:lang w:eastAsia="zh-CN"/>
              </w:rPr>
            </w:pPr>
            <w:r>
              <w:rPr>
                <w:rFonts w:hint="eastAsia" w:ascii="黑体" w:hAnsi="黑体" w:eastAsia="黑体" w:cs="黑体"/>
                <w:bCs/>
                <w:color w:val="auto"/>
                <w:sz w:val="28"/>
                <w:szCs w:val="28"/>
                <w:lang w:eastAsia="zh-CN"/>
              </w:rPr>
              <w:t>专栏</w:t>
            </w:r>
            <w:r>
              <w:rPr>
                <w:rFonts w:hint="eastAsia" w:ascii="黑体" w:hAnsi="黑体" w:eastAsia="黑体" w:cs="黑体"/>
                <w:bCs/>
                <w:color w:val="auto"/>
                <w:sz w:val="28"/>
                <w:szCs w:val="28"/>
                <w:lang w:val="en-US" w:eastAsia="zh-CN"/>
              </w:rPr>
              <w:t>2</w:t>
            </w:r>
            <w:r>
              <w:rPr>
                <w:rFonts w:hint="eastAsia" w:ascii="黑体" w:hAnsi="黑体" w:eastAsia="黑体" w:cs="黑体"/>
                <w:bCs/>
                <w:color w:val="auto"/>
                <w:sz w:val="28"/>
                <w:szCs w:val="28"/>
                <w:lang w:eastAsia="zh-CN"/>
              </w:rPr>
              <w:t xml:space="preserve">  多元化养老服务体系提质工程</w:t>
            </w:r>
          </w:p>
        </w:tc>
      </w:tr>
      <w:tr w14:paraId="01B0D65F">
        <w:tblPrEx>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CellMar>
            <w:top w:w="0" w:type="dxa"/>
            <w:left w:w="108" w:type="dxa"/>
            <w:bottom w:w="0" w:type="dxa"/>
            <w:right w:w="108" w:type="dxa"/>
          </w:tblCellMar>
        </w:tblPrEx>
        <w:trPr>
          <w:cantSplit/>
          <w:jc w:val="center"/>
        </w:trPr>
        <w:tc>
          <w:tcPr>
            <w:tcW w:w="8960" w:type="dxa"/>
            <w:noWrap w:val="0"/>
            <w:tcMar>
              <w:top w:w="130" w:type="dxa"/>
              <w:left w:w="180" w:type="dxa"/>
              <w:bottom w:w="130" w:type="dxa"/>
              <w:right w:w="180" w:type="dxa"/>
            </w:tcMar>
            <w:vAlign w:val="top"/>
          </w:tcPr>
          <w:p w14:paraId="41AEC714">
            <w:pPr>
              <w:keepLines/>
              <w:ind w:firstLine="562" w:firstLineChars="200"/>
              <w:rPr>
                <w:rFonts w:ascii="仿宋_GB2312" w:hAnsi="仿宋_GB2312" w:eastAsia="仿宋_GB2312" w:cs="仿宋_GB2312"/>
                <w:bCs/>
                <w:color w:val="auto"/>
                <w:sz w:val="28"/>
                <w:szCs w:val="28"/>
                <w:lang w:eastAsia="zh-CN"/>
              </w:rPr>
            </w:pPr>
            <w:r>
              <w:rPr>
                <w:rFonts w:hint="eastAsia" w:ascii="仿宋_GB2312" w:hAnsi="仿宋_GB2312" w:eastAsia="仿宋_GB2312" w:cs="仿宋_GB2312"/>
                <w:b/>
                <w:color w:val="auto"/>
                <w:sz w:val="28"/>
                <w:szCs w:val="28"/>
                <w:lang w:eastAsia="zh-CN"/>
              </w:rPr>
              <w:t>1.居家养老支持项目。</w:t>
            </w:r>
            <w:r>
              <w:rPr>
                <w:rFonts w:ascii="仿宋_GB2312" w:hAnsi="仿宋_GB2312" w:eastAsia="仿宋_GB2312" w:cs="仿宋_GB2312"/>
                <w:bCs/>
                <w:color w:val="auto"/>
                <w:sz w:val="28"/>
                <w:szCs w:val="28"/>
                <w:lang w:eastAsia="zh-CN"/>
              </w:rPr>
              <w:t>进一步加强居家养老服务的规范化建设，支持专业机构和社会组织扩大助餐、助洁、助浴、助行、助医、助急等居家养老上门服务。</w:t>
            </w:r>
          </w:p>
          <w:p w14:paraId="52175C64">
            <w:pPr>
              <w:keepLines/>
              <w:ind w:firstLine="562" w:firstLineChars="200"/>
              <w:rPr>
                <w:rFonts w:ascii="仿宋_GB2312" w:hAnsi="仿宋_GB2312" w:eastAsia="仿宋_GB2312" w:cs="仿宋_GB2312"/>
                <w:color w:val="auto"/>
                <w:sz w:val="28"/>
                <w:szCs w:val="28"/>
                <w:lang w:eastAsia="zh-CN"/>
              </w:rPr>
            </w:pPr>
            <w:r>
              <w:rPr>
                <w:rFonts w:hint="eastAsia" w:ascii="仿宋_GB2312" w:hAnsi="仿宋_GB2312" w:eastAsia="仿宋_GB2312" w:cs="仿宋_GB2312"/>
                <w:b/>
                <w:color w:val="auto"/>
                <w:sz w:val="28"/>
                <w:szCs w:val="28"/>
                <w:lang w:eastAsia="zh-CN"/>
              </w:rPr>
              <w:t>2.社区养老品牌培育项目。</w:t>
            </w:r>
            <w:r>
              <w:rPr>
                <w:rFonts w:hint="eastAsia" w:ascii="仿宋_GB2312" w:hAnsi="仿宋_GB2312" w:eastAsia="仿宋_GB2312" w:cs="仿宋_GB2312"/>
                <w:bCs/>
                <w:color w:val="auto"/>
                <w:sz w:val="28"/>
                <w:szCs w:val="28"/>
                <w:lang w:eastAsia="zh-CN"/>
              </w:rPr>
              <w:t>持续</w:t>
            </w:r>
            <w:r>
              <w:rPr>
                <w:rFonts w:hint="eastAsia" w:ascii="仿宋_GB2312" w:hAnsi="仿宋_GB2312" w:eastAsia="仿宋_GB2312" w:cs="仿宋_GB2312"/>
                <w:color w:val="auto"/>
                <w:sz w:val="28"/>
                <w:szCs w:val="28"/>
                <w:lang w:eastAsia="zh-CN"/>
              </w:rPr>
              <w:t>发展嵌入式、综合性社区养老服务，推广“社区＋物业＋养老服务”等模式，积极研究推动以街道为单位的由专业化养老服务组织连锁化运营。力争在“十五五”期间，每个州（市）至少培育1家专业化、连锁化、品牌化运营的社区养老服务机构。推动设施建设与稳定运营、服务配送同步提升。</w:t>
            </w:r>
          </w:p>
          <w:p w14:paraId="6378B46C">
            <w:pPr>
              <w:keepLines/>
              <w:ind w:firstLine="562" w:firstLineChars="200"/>
              <w:rPr>
                <w:rFonts w:ascii="仿宋_GB2312" w:hAnsi="仿宋_GB2312" w:eastAsia="仿宋_GB2312" w:cs="仿宋_GB2312"/>
                <w:color w:val="auto"/>
                <w:sz w:val="28"/>
                <w:szCs w:val="28"/>
                <w:lang w:eastAsia="zh-CN"/>
              </w:rPr>
            </w:pPr>
            <w:r>
              <w:rPr>
                <w:rFonts w:hint="eastAsia" w:ascii="仿宋_GB2312" w:hAnsi="仿宋_GB2312" w:eastAsia="仿宋_GB2312" w:cs="仿宋_GB2312"/>
                <w:b/>
                <w:color w:val="auto"/>
                <w:sz w:val="28"/>
                <w:szCs w:val="28"/>
                <w:lang w:eastAsia="zh-CN"/>
              </w:rPr>
              <w:t>3.养老机构提质增效项目。</w:t>
            </w:r>
            <w:r>
              <w:rPr>
                <w:rFonts w:hint="eastAsia" w:ascii="仿宋_GB2312" w:hAnsi="仿宋_GB2312" w:eastAsia="仿宋_GB2312" w:cs="仿宋_GB2312"/>
                <w:color w:val="auto"/>
                <w:sz w:val="28"/>
                <w:szCs w:val="28"/>
                <w:lang w:eastAsia="zh-CN"/>
              </w:rPr>
              <w:t>推进养老机构分类改革和等级评定提升，重点实施护理型床位改造、设施设备更新和服务功能优化，推动符合条件的养老机构提高评定等级。新建、改扩建公办养老机构原则上以护理型床位为主，护理型床位占比不低于</w:t>
            </w:r>
            <w:r>
              <w:rPr>
                <w:rFonts w:hint="eastAsia" w:ascii="Times New Roman" w:hAnsi="Times New Roman" w:eastAsia="仿宋_GB2312" w:cs="仿宋_GB2312"/>
                <w:color w:val="auto"/>
                <w:sz w:val="28"/>
                <w:szCs w:val="28"/>
                <w:lang w:eastAsia="zh-CN"/>
              </w:rPr>
              <w:t>80</w:t>
            </w:r>
            <w:r>
              <w:rPr>
                <w:rFonts w:hint="eastAsia" w:ascii="仿宋_GB2312" w:hAnsi="仿宋_GB2312" w:eastAsia="仿宋_GB2312" w:cs="仿宋_GB2312"/>
                <w:color w:val="auto"/>
                <w:sz w:val="28"/>
                <w:szCs w:val="28"/>
                <w:lang w:eastAsia="zh-CN"/>
              </w:rPr>
              <w:t>%。到</w:t>
            </w:r>
            <w:r>
              <w:rPr>
                <w:rFonts w:hint="eastAsia" w:ascii="Times New Roman" w:hAnsi="Times New Roman" w:eastAsia="仿宋_GB2312" w:cs="仿宋_GB2312"/>
                <w:color w:val="auto"/>
                <w:sz w:val="28"/>
                <w:szCs w:val="28"/>
                <w:lang w:eastAsia="zh-CN"/>
              </w:rPr>
              <w:t>2030</w:t>
            </w:r>
            <w:r>
              <w:rPr>
                <w:rFonts w:hint="eastAsia" w:ascii="仿宋_GB2312" w:hAnsi="仿宋_GB2312" w:eastAsia="仿宋_GB2312" w:cs="仿宋_GB2312"/>
                <w:color w:val="auto"/>
                <w:sz w:val="28"/>
                <w:szCs w:val="28"/>
                <w:lang w:eastAsia="zh-CN"/>
              </w:rPr>
              <w:t>年，全省养老机构护理型床位占比达到</w:t>
            </w:r>
            <w:r>
              <w:rPr>
                <w:rFonts w:hint="eastAsia" w:ascii="Times New Roman" w:hAnsi="Times New Roman" w:eastAsia="仿宋_GB2312" w:cs="仿宋_GB2312"/>
                <w:color w:val="auto"/>
                <w:sz w:val="28"/>
                <w:szCs w:val="28"/>
                <w:lang w:eastAsia="zh-CN"/>
              </w:rPr>
              <w:t>80</w:t>
            </w:r>
            <w:r>
              <w:rPr>
                <w:rFonts w:hint="eastAsia" w:ascii="仿宋_GB2312" w:hAnsi="仿宋_GB2312" w:eastAsia="仿宋_GB2312" w:cs="仿宋_GB2312"/>
                <w:color w:val="auto"/>
                <w:sz w:val="28"/>
                <w:szCs w:val="28"/>
                <w:lang w:eastAsia="zh-CN"/>
              </w:rPr>
              <w:t>%以上。</w:t>
            </w:r>
          </w:p>
          <w:p w14:paraId="59EAE330">
            <w:pPr>
              <w:keepLines/>
              <w:spacing w:after="80"/>
              <w:ind w:firstLine="562" w:firstLineChars="200"/>
              <w:rPr>
                <w:rFonts w:ascii="仿宋_GB2312" w:hAnsi="仿宋_GB2312" w:eastAsia="仿宋_GB2312" w:cs="仿宋_GB2312"/>
                <w:color w:val="auto"/>
                <w:sz w:val="32"/>
                <w:szCs w:val="32"/>
                <w:lang w:eastAsia="zh-CN"/>
              </w:rPr>
            </w:pPr>
            <w:r>
              <w:rPr>
                <w:rFonts w:hint="eastAsia" w:ascii="仿宋_GB2312" w:hAnsi="仿宋_GB2312" w:eastAsia="仿宋_GB2312" w:cs="仿宋_GB2312"/>
                <w:b/>
                <w:color w:val="auto"/>
                <w:sz w:val="28"/>
                <w:szCs w:val="28"/>
                <w:lang w:eastAsia="zh-CN"/>
              </w:rPr>
              <w:t>4.长期照护服务衔接。</w:t>
            </w:r>
            <w:r>
              <w:rPr>
                <w:rFonts w:hint="eastAsia" w:ascii="仿宋_GB2312" w:hAnsi="仿宋_GB2312" w:eastAsia="仿宋_GB2312" w:cs="仿宋_GB2312"/>
                <w:color w:val="auto"/>
                <w:sz w:val="28"/>
                <w:szCs w:val="28"/>
                <w:lang w:eastAsia="zh-CN"/>
              </w:rPr>
              <w:t>按照国家统一部署积极稳妥推进长期护理保险制度建设，推动失能等级评估结果按需共享使用，做好长期护理保险、相关补贴与居家、社区、机构护理服务衔接。</w:t>
            </w:r>
          </w:p>
        </w:tc>
      </w:tr>
    </w:tbl>
    <w:p w14:paraId="2764E81D">
      <w:pPr>
        <w:pStyle w:val="3"/>
        <w:spacing w:line="576" w:lineRule="exact"/>
        <w:ind w:firstLine="640" w:firstLineChars="200"/>
        <w:rPr>
          <w:rFonts w:ascii="楷体_GB2312" w:hAnsi="楷体_GB2312" w:eastAsia="楷体_GB2312" w:cs="楷体_GB2312"/>
          <w:b w:val="0"/>
          <w:bCs w:val="0"/>
          <w:color w:val="auto"/>
          <w:szCs w:val="32"/>
          <w:lang w:eastAsia="zh-CN"/>
        </w:rPr>
      </w:pPr>
      <w:r>
        <w:rPr>
          <w:rFonts w:hint="eastAsia" w:ascii="楷体_GB2312" w:hAnsi="楷体_GB2312" w:eastAsia="楷体_GB2312" w:cs="楷体_GB2312"/>
          <w:b w:val="0"/>
          <w:bCs w:val="0"/>
          <w:color w:val="auto"/>
          <w:szCs w:val="32"/>
          <w:lang w:eastAsia="zh-CN"/>
        </w:rPr>
        <w:t>（三）补齐农村养老服务短板</w:t>
      </w:r>
    </w:p>
    <w:p w14:paraId="5207608D">
      <w:pPr>
        <w:spacing w:line="576" w:lineRule="exact"/>
        <w:ind w:firstLine="640" w:firstLineChars="200"/>
        <w:rPr>
          <w:rFonts w:ascii="仿宋_GB2312" w:hAnsi="仿宋_GB2312" w:eastAsia="仿宋_GB2312" w:cs="仿宋_GB2312"/>
          <w:color w:val="auto"/>
          <w:sz w:val="32"/>
          <w:szCs w:val="32"/>
          <w:lang w:eastAsia="zh-CN"/>
        </w:rPr>
      </w:pPr>
      <w:r>
        <w:rPr>
          <w:rFonts w:ascii="仿宋_GB2312" w:hAnsi="仿宋_GB2312" w:eastAsia="仿宋_GB2312" w:cs="仿宋_GB2312"/>
          <w:color w:val="auto"/>
          <w:sz w:val="32"/>
          <w:szCs w:val="32"/>
          <w:lang w:eastAsia="zh-CN"/>
        </w:rPr>
        <w:t>稳妥推进农村敬老院分类改革。坚持一院一策、因地制宜、稳步推进，分类推进农村敬老院的提质改造、转型使用、关停撤并工作。统筹农村公共服务设施和闲置资源，发展农村互助和助餐服务。探索互助养老服务站点、幸福食堂、幸福小院等服务载体，因地制宜采取集中供餐、送餐上门、邻里互助、多户搭伙等方式发展老年助餐。支持有条件的村集体依法利用集体经济资源、闲置资源开展养老服务，推动城乡养老机构结对共建，鼓励慈善机构、基层老年协会、社会组织、志愿服务力量和返乡人员参与农村养老服务。</w:t>
      </w:r>
    </w:p>
    <w:p w14:paraId="788E7496">
      <w:pPr>
        <w:spacing w:line="576" w:lineRule="exact"/>
        <w:ind w:firstLine="640" w:firstLineChars="200"/>
        <w:rPr>
          <w:rFonts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健全农村老年人关爱服务机制。完善农村留守、高龄、独居、空巢、失能等老年人摸排建档、分类探访、风险转介和应急响应机制。压实家庭赡养和照护责任，发展农村助老员、养老服务代办员和互助服务队伍，组织开展助餐、代购代办、陪诊转介、精神慰藉等服务，加强服务规范和基本技能培训，推动专业服务、基层自治、邻里互助和家庭照护有效衔接。到</w:t>
      </w:r>
      <w:r>
        <w:rPr>
          <w:rFonts w:hint="eastAsia" w:ascii="Times New Roman" w:hAnsi="Times New Roman" w:eastAsia="仿宋_GB2312" w:cs="仿宋_GB2312"/>
          <w:color w:val="auto"/>
          <w:sz w:val="32"/>
          <w:szCs w:val="32"/>
          <w:lang w:eastAsia="zh-CN"/>
        </w:rPr>
        <w:t>2030</w:t>
      </w:r>
      <w:r>
        <w:rPr>
          <w:rFonts w:hint="eastAsia" w:ascii="仿宋_GB2312" w:hAnsi="仿宋_GB2312" w:eastAsia="仿宋_GB2312" w:cs="仿宋_GB2312"/>
          <w:color w:val="auto"/>
          <w:sz w:val="32"/>
          <w:szCs w:val="32"/>
          <w:lang w:eastAsia="zh-CN"/>
        </w:rPr>
        <w:t>年，全省农村敬老院分类改革基本完成，互助养老、助餐服务和探访关爱更加普惠可及，农村养老服务短板进一步补齐。</w:t>
      </w:r>
    </w:p>
    <w:tbl>
      <w:tblPr>
        <w:tblStyle w:val="5"/>
        <w:tblW w:w="8960" w:type="dxa"/>
        <w:jc w:val="center"/>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Layout w:type="autofit"/>
        <w:tblCellMar>
          <w:top w:w="0" w:type="dxa"/>
          <w:left w:w="108" w:type="dxa"/>
          <w:bottom w:w="0" w:type="dxa"/>
          <w:right w:w="108" w:type="dxa"/>
        </w:tblCellMar>
      </w:tblPr>
      <w:tblGrid>
        <w:gridCol w:w="8960"/>
      </w:tblGrid>
      <w:tr w14:paraId="4F73DCE2">
        <w:tblPrEx>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CellMar>
            <w:top w:w="0" w:type="dxa"/>
            <w:left w:w="108" w:type="dxa"/>
            <w:bottom w:w="0" w:type="dxa"/>
            <w:right w:w="108" w:type="dxa"/>
          </w:tblCellMar>
        </w:tblPrEx>
        <w:trPr>
          <w:cantSplit/>
          <w:trHeight w:val="624" w:hRule="atLeast"/>
          <w:jc w:val="center"/>
        </w:trPr>
        <w:tc>
          <w:tcPr>
            <w:tcW w:w="8960" w:type="dxa"/>
            <w:shd w:val="clear" w:color="auto" w:fill="FFFFFF"/>
            <w:noWrap w:val="0"/>
            <w:tcMar>
              <w:top w:w="100" w:type="dxa"/>
              <w:left w:w="120" w:type="dxa"/>
              <w:bottom w:w="100" w:type="dxa"/>
              <w:right w:w="120" w:type="dxa"/>
            </w:tcMar>
            <w:vAlign w:val="center"/>
          </w:tcPr>
          <w:p w14:paraId="2A03ED6A">
            <w:pPr>
              <w:keepNext/>
              <w:snapToGrid w:val="0"/>
              <w:spacing w:line="576" w:lineRule="exact"/>
              <w:ind w:firstLine="560" w:firstLineChars="200"/>
              <w:jc w:val="center"/>
              <w:rPr>
                <w:rFonts w:ascii="仿宋_GB2312" w:hAnsi="仿宋_GB2312" w:eastAsia="仿宋_GB2312" w:cs="仿宋_GB2312"/>
                <w:color w:val="auto"/>
                <w:sz w:val="32"/>
                <w:szCs w:val="32"/>
                <w:lang w:eastAsia="zh-CN"/>
              </w:rPr>
            </w:pPr>
            <w:r>
              <w:rPr>
                <w:rFonts w:hint="eastAsia" w:ascii="黑体" w:hAnsi="黑体" w:eastAsia="黑体" w:cs="黑体"/>
                <w:bCs/>
                <w:color w:val="auto"/>
                <w:sz w:val="28"/>
                <w:szCs w:val="28"/>
                <w:lang w:eastAsia="zh-CN"/>
              </w:rPr>
              <w:t>专栏</w:t>
            </w:r>
            <w:r>
              <w:rPr>
                <w:rFonts w:hint="eastAsia" w:ascii="黑体" w:hAnsi="黑体" w:eastAsia="黑体" w:cs="黑体"/>
                <w:bCs/>
                <w:color w:val="auto"/>
                <w:sz w:val="28"/>
                <w:szCs w:val="28"/>
                <w:lang w:val="en-US" w:eastAsia="zh-CN"/>
              </w:rPr>
              <w:t>3</w:t>
            </w:r>
            <w:r>
              <w:rPr>
                <w:rFonts w:hint="eastAsia" w:ascii="黑体" w:hAnsi="黑体" w:eastAsia="黑体" w:cs="黑体"/>
                <w:bCs/>
                <w:color w:val="auto"/>
                <w:sz w:val="28"/>
                <w:szCs w:val="28"/>
                <w:lang w:eastAsia="zh-CN"/>
              </w:rPr>
              <w:t xml:space="preserve">  农村养老服务补短板行动</w:t>
            </w:r>
          </w:p>
        </w:tc>
      </w:tr>
      <w:tr w14:paraId="525F5246">
        <w:tblPrEx>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CellMar>
            <w:top w:w="0" w:type="dxa"/>
            <w:left w:w="108" w:type="dxa"/>
            <w:bottom w:w="0" w:type="dxa"/>
            <w:right w:w="108" w:type="dxa"/>
          </w:tblCellMar>
        </w:tblPrEx>
        <w:trPr>
          <w:cantSplit/>
          <w:jc w:val="center"/>
        </w:trPr>
        <w:tc>
          <w:tcPr>
            <w:tcW w:w="8960" w:type="dxa"/>
            <w:noWrap w:val="0"/>
            <w:tcMar>
              <w:top w:w="130" w:type="dxa"/>
              <w:left w:w="180" w:type="dxa"/>
              <w:bottom w:w="130" w:type="dxa"/>
              <w:right w:w="180" w:type="dxa"/>
            </w:tcMar>
            <w:vAlign w:val="top"/>
          </w:tcPr>
          <w:p w14:paraId="60C389AA">
            <w:pPr>
              <w:keepLines/>
              <w:widowControl w:val="0"/>
              <w:ind w:firstLine="562" w:firstLineChars="200"/>
              <w:rPr>
                <w:rFonts w:ascii="仿宋_GB2312" w:hAnsi="仿宋_GB2312" w:eastAsia="仿宋_GB2312" w:cs="仿宋_GB2312"/>
                <w:color w:val="auto"/>
                <w:sz w:val="28"/>
                <w:szCs w:val="28"/>
                <w:lang w:eastAsia="zh-CN"/>
              </w:rPr>
            </w:pPr>
            <w:r>
              <w:rPr>
                <w:rFonts w:hint="eastAsia" w:ascii="仿宋_GB2312" w:hAnsi="仿宋_GB2312" w:eastAsia="仿宋_GB2312" w:cs="仿宋_GB2312"/>
                <w:b/>
                <w:color w:val="auto"/>
                <w:sz w:val="28"/>
                <w:szCs w:val="28"/>
                <w:lang w:eastAsia="zh-CN"/>
              </w:rPr>
              <w:t>1.农村敬老院分类改革。</w:t>
            </w:r>
            <w:r>
              <w:rPr>
                <w:rFonts w:hint="eastAsia" w:ascii="仿宋_GB2312" w:hAnsi="仿宋_GB2312" w:eastAsia="仿宋_GB2312" w:cs="仿宋_GB2312"/>
                <w:color w:val="auto"/>
                <w:sz w:val="28"/>
                <w:szCs w:val="28"/>
                <w:lang w:eastAsia="zh-CN"/>
              </w:rPr>
              <w:t>按照“提质改造一批、转型使用一批、关停撤并一批”要求，逐院评估安全条件、服务需求和辐射能力，实行一院一策，推动保留设施向兜底保障、失能照护和区域服务转型。</w:t>
            </w:r>
          </w:p>
          <w:p w14:paraId="3EE62663">
            <w:pPr>
              <w:keepNext w:val="0"/>
              <w:keepLines w:val="0"/>
              <w:pageBreakBefore w:val="0"/>
              <w:widowControl w:val="0"/>
              <w:suppressLineNumbers w:val="0"/>
              <w:kinsoku/>
              <w:wordWrap/>
              <w:topLinePunct w:val="0"/>
              <w:autoSpaceDE/>
              <w:autoSpaceDN/>
              <w:bidi w:val="0"/>
              <w:spacing w:beforeLines="0" w:afterLines="0" w:line="600" w:lineRule="exact"/>
              <w:ind w:firstLine="562" w:firstLineChars="200"/>
              <w:jc w:val="both"/>
              <w:outlineLvl w:val="9"/>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b/>
                <w:color w:val="auto"/>
                <w:sz w:val="28"/>
                <w:szCs w:val="28"/>
                <w:lang w:eastAsia="zh-CN"/>
              </w:rPr>
              <w:t>2.加强农村养老服务短板补齐。</w:t>
            </w:r>
            <w:r>
              <w:rPr>
                <w:rFonts w:hint="eastAsia" w:ascii="仿宋_GB2312" w:hAnsi="仿宋_GB2312" w:eastAsia="仿宋_GB2312" w:cs="仿宋_GB2312"/>
                <w:color w:val="auto"/>
                <w:sz w:val="28"/>
                <w:szCs w:val="28"/>
                <w:lang w:eastAsia="zh-CN"/>
              </w:rPr>
              <w:t>统筹党群服务中心、农村公共服务设施、闲置校舍和农房等资源，因地制宜探索发展幸福小院、互助养老站点、幸福食堂以及送餐上门、多户搭伙等服务，加强老年协会的建设，支持村级集体经济发展养老服务。</w:t>
            </w:r>
            <w:r>
              <w:rPr>
                <w:rFonts w:hint="eastAsia" w:ascii="仿宋_GB2312" w:hAnsi="仿宋_GB2312" w:eastAsia="仿宋_GB2312" w:cs="仿宋_GB2312"/>
                <w:color w:val="auto"/>
                <w:sz w:val="28"/>
                <w:szCs w:val="28"/>
                <w:lang w:val="en-US" w:eastAsia="zh-CN"/>
              </w:rPr>
              <w:t>到</w:t>
            </w:r>
            <w:r>
              <w:rPr>
                <w:rFonts w:hint="eastAsia" w:ascii="Times New Roman" w:hAnsi="Times New Roman" w:eastAsia="仿宋_GB2312" w:cs="仿宋_GB2312"/>
                <w:color w:val="auto"/>
                <w:sz w:val="28"/>
                <w:szCs w:val="28"/>
                <w:lang w:val="en-US" w:eastAsia="zh-CN"/>
              </w:rPr>
              <w:t>2026</w:t>
            </w:r>
            <w:r>
              <w:rPr>
                <w:rFonts w:hint="eastAsia" w:ascii="仿宋_GB2312" w:hAnsi="仿宋_GB2312" w:eastAsia="仿宋_GB2312" w:cs="仿宋_GB2312"/>
                <w:color w:val="auto"/>
                <w:sz w:val="28"/>
                <w:szCs w:val="28"/>
                <w:lang w:val="en-US" w:eastAsia="zh-CN"/>
              </w:rPr>
              <w:t>年，全省</w:t>
            </w:r>
            <w:r>
              <w:rPr>
                <w:rFonts w:hint="eastAsia" w:ascii="Times New Roman" w:hAnsi="Times New Roman" w:eastAsia="仿宋_GB2312" w:cs="仿宋_GB2312"/>
                <w:color w:val="auto"/>
                <w:sz w:val="28"/>
                <w:szCs w:val="28"/>
                <w:lang w:val="en-US" w:eastAsia="zh-CN"/>
              </w:rPr>
              <w:t>25%</w:t>
            </w:r>
            <w:r>
              <w:rPr>
                <w:rFonts w:hint="eastAsia" w:ascii="仿宋_GB2312" w:hAnsi="仿宋_GB2312" w:eastAsia="仿宋_GB2312" w:cs="仿宋_GB2312"/>
                <w:color w:val="auto"/>
                <w:sz w:val="28"/>
                <w:szCs w:val="28"/>
                <w:lang w:val="en-US" w:eastAsia="zh-CN"/>
              </w:rPr>
              <w:t>的行政村建成“幸福小院”；到</w:t>
            </w:r>
            <w:r>
              <w:rPr>
                <w:rFonts w:hint="eastAsia" w:ascii="Times New Roman" w:hAnsi="Times New Roman" w:eastAsia="仿宋_GB2312" w:cs="仿宋_GB2312"/>
                <w:color w:val="auto"/>
                <w:sz w:val="28"/>
                <w:szCs w:val="28"/>
                <w:lang w:val="en-US" w:eastAsia="zh-CN"/>
              </w:rPr>
              <w:t>2027</w:t>
            </w:r>
            <w:r>
              <w:rPr>
                <w:rFonts w:hint="eastAsia" w:ascii="仿宋_GB2312" w:hAnsi="仿宋_GB2312" w:eastAsia="仿宋_GB2312" w:cs="仿宋_GB2312"/>
                <w:color w:val="auto"/>
                <w:sz w:val="28"/>
                <w:szCs w:val="28"/>
                <w:lang w:val="en-US" w:eastAsia="zh-CN"/>
              </w:rPr>
              <w:t>年，全省所有行政村建成“幸福小院”。</w:t>
            </w:r>
          </w:p>
          <w:p w14:paraId="55CB4C4E">
            <w:pPr>
              <w:keepLines/>
              <w:widowControl w:val="0"/>
              <w:ind w:firstLine="562" w:firstLineChars="200"/>
              <w:rPr>
                <w:rFonts w:ascii="仿宋_GB2312" w:hAnsi="仿宋_GB2312" w:eastAsia="仿宋_GB2312" w:cs="仿宋_GB2312"/>
                <w:color w:val="auto"/>
                <w:sz w:val="32"/>
                <w:szCs w:val="32"/>
                <w:lang w:eastAsia="zh-CN"/>
              </w:rPr>
            </w:pPr>
            <w:r>
              <w:rPr>
                <w:rFonts w:hint="eastAsia" w:ascii="仿宋_GB2312" w:hAnsi="仿宋_GB2312" w:eastAsia="仿宋_GB2312" w:cs="仿宋_GB2312"/>
                <w:b/>
                <w:color w:val="auto"/>
                <w:sz w:val="28"/>
                <w:szCs w:val="28"/>
                <w:lang w:eastAsia="zh-CN"/>
              </w:rPr>
              <w:t>3.探访关爱和应急响应。</w:t>
            </w:r>
            <w:r>
              <w:rPr>
                <w:rFonts w:hint="eastAsia" w:ascii="仿宋_GB2312" w:hAnsi="仿宋_GB2312" w:eastAsia="仿宋_GB2312" w:cs="仿宋_GB2312"/>
                <w:color w:val="auto"/>
                <w:sz w:val="28"/>
                <w:szCs w:val="28"/>
                <w:lang w:eastAsia="zh-CN"/>
              </w:rPr>
              <w:t>推动探访关爱与基本养老、医疗卫生、社会救助等服务衔接。常态化开展探访关爱，保持农村留守老年人月探访关爱率</w:t>
            </w:r>
            <w:r>
              <w:rPr>
                <w:rFonts w:hint="default" w:ascii="Times New Roman" w:hAnsi="Times New Roman" w:eastAsia="仿宋_GB2312" w:cs="仿宋_GB2312"/>
                <w:color w:val="auto"/>
                <w:sz w:val="28"/>
                <w:szCs w:val="28"/>
                <w:lang w:eastAsia="zh-CN"/>
              </w:rPr>
              <w:t>100%</w:t>
            </w:r>
            <w:r>
              <w:rPr>
                <w:rFonts w:hint="eastAsia" w:ascii="Times New Roman" w:hAnsi="Times New Roman" w:eastAsia="仿宋_GB2312" w:cs="仿宋_GB2312"/>
                <w:color w:val="auto"/>
                <w:sz w:val="28"/>
                <w:szCs w:val="28"/>
                <w:lang w:eastAsia="zh-CN"/>
              </w:rPr>
              <w:t>。</w:t>
            </w:r>
          </w:p>
        </w:tc>
      </w:tr>
    </w:tbl>
    <w:p w14:paraId="74894019">
      <w:pPr>
        <w:pStyle w:val="3"/>
        <w:spacing w:line="576" w:lineRule="exact"/>
        <w:ind w:firstLine="480" w:firstLineChars="150"/>
        <w:rPr>
          <w:rFonts w:ascii="楷体_GB2312" w:hAnsi="楷体_GB2312" w:eastAsia="楷体_GB2312" w:cs="楷体_GB2312"/>
          <w:b w:val="0"/>
          <w:bCs w:val="0"/>
          <w:color w:val="auto"/>
          <w:szCs w:val="32"/>
          <w:lang w:eastAsia="zh-CN"/>
        </w:rPr>
      </w:pPr>
      <w:r>
        <w:rPr>
          <w:rFonts w:hint="eastAsia" w:ascii="楷体_GB2312" w:hAnsi="楷体_GB2312" w:eastAsia="楷体_GB2312" w:cs="楷体_GB2312"/>
          <w:b w:val="0"/>
          <w:bCs w:val="0"/>
          <w:color w:val="auto"/>
          <w:szCs w:val="32"/>
          <w:lang w:eastAsia="zh-CN"/>
        </w:rPr>
        <w:t>（四）推进养老服务数字化发展</w:t>
      </w:r>
    </w:p>
    <w:p w14:paraId="38B50AB4">
      <w:pPr>
        <w:spacing w:line="576" w:lineRule="exact"/>
        <w:ind w:firstLine="600" w:firstLineChars="200"/>
        <w:rPr>
          <w:rFonts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lang w:eastAsia="zh-CN"/>
        </w:rPr>
        <w:t>加强养老服务信息化建设。统筹推进养老服务信息资源整合和功能优化，整合现有养老政务信息和民政业务系统信息，完善老年人、养老机构和设施、从业人员、服务项目、资金项目、安全风险等基础数据，推进数据分类归集、动态更新和规范管理，促进省、州、县、乡、村以及养老服务机构有关业务协同。坚持集约建设、互联共享，做好与县级综合养老服务管理平台的衔接，避免重复建设、多头采集和基层重复填报。</w:t>
      </w:r>
    </w:p>
    <w:p w14:paraId="77B86B4B">
      <w:pPr>
        <w:spacing w:line="576" w:lineRule="exact"/>
        <w:ind w:firstLine="600" w:firstLineChars="200"/>
        <w:rPr>
          <w:rFonts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lang w:eastAsia="zh-CN"/>
        </w:rPr>
        <w:t>拓展数字化应用场景。实施“人工智能＋养老服务”应用，推动数字技术在对象识别、能力评估、服务供需对接、补贴核验、探访关爱、机构监管和风险预警等场景应用。推动综合性养老服务机构应用智能服务系统、智能辅助器具、智慧消防安防系统等，发展适老、实用、易维护的智慧照护产品和服务，强化线上线下融合。</w:t>
      </w:r>
    </w:p>
    <w:p w14:paraId="417BF8D7">
      <w:pPr>
        <w:spacing w:line="576" w:lineRule="exact"/>
        <w:ind w:firstLine="600" w:firstLineChars="200"/>
        <w:rPr>
          <w:rFonts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lang w:eastAsia="zh-CN"/>
        </w:rPr>
        <w:t>加强数据协同和统计监测。健全养老服务和银发经济统计监测、数据质量和安全管理制度，推进高龄津贴、养老服务补贴、护理补贴、助餐补贴等数据共享复用，依法推动我省各级部门间信息共享和成果互认，减少重复评估和基层数据重复填报。配合开展第六次全国城乡老年人生活状况抽样调查，加强调查监测成果在规划实施、政策制定和资源配置中的应用。</w:t>
      </w:r>
    </w:p>
    <w:tbl>
      <w:tblPr>
        <w:tblStyle w:val="5"/>
        <w:tblW w:w="8960" w:type="dxa"/>
        <w:jc w:val="center"/>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Layout w:type="autofit"/>
        <w:tblCellMar>
          <w:top w:w="0" w:type="dxa"/>
          <w:left w:w="108" w:type="dxa"/>
          <w:bottom w:w="0" w:type="dxa"/>
          <w:right w:w="108" w:type="dxa"/>
        </w:tblCellMar>
      </w:tblPr>
      <w:tblGrid>
        <w:gridCol w:w="8960"/>
      </w:tblGrid>
      <w:tr w14:paraId="54FA96B1">
        <w:tblPrEx>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CellMar>
            <w:top w:w="0" w:type="dxa"/>
            <w:left w:w="108" w:type="dxa"/>
            <w:bottom w:w="0" w:type="dxa"/>
            <w:right w:w="108" w:type="dxa"/>
          </w:tblCellMar>
        </w:tblPrEx>
        <w:trPr>
          <w:trHeight w:val="624" w:hRule="atLeast"/>
          <w:jc w:val="center"/>
        </w:trPr>
        <w:tc>
          <w:tcPr>
            <w:tcW w:w="8960" w:type="dxa"/>
            <w:shd w:val="clear" w:color="auto" w:fill="FFFFFF"/>
            <w:noWrap w:val="0"/>
            <w:tcMar>
              <w:top w:w="100" w:type="dxa"/>
              <w:left w:w="120" w:type="dxa"/>
              <w:bottom w:w="100" w:type="dxa"/>
              <w:right w:w="120" w:type="dxa"/>
            </w:tcMar>
            <w:vAlign w:val="center"/>
          </w:tcPr>
          <w:p w14:paraId="67C0FC3A">
            <w:pPr>
              <w:keepNext/>
              <w:snapToGrid w:val="0"/>
              <w:spacing w:line="576" w:lineRule="exact"/>
              <w:ind w:firstLine="560" w:firstLineChars="200"/>
              <w:jc w:val="center"/>
              <w:rPr>
                <w:rFonts w:ascii="仿宋_GB2312" w:hAnsi="仿宋_GB2312" w:eastAsia="仿宋_GB2312" w:cs="仿宋_GB2312"/>
                <w:color w:val="auto"/>
                <w:sz w:val="32"/>
                <w:szCs w:val="32"/>
                <w:lang w:eastAsia="zh-CN"/>
              </w:rPr>
            </w:pPr>
            <w:r>
              <w:rPr>
                <w:rFonts w:hint="eastAsia" w:ascii="黑体" w:hAnsi="黑体" w:eastAsia="黑体" w:cs="黑体"/>
                <w:bCs/>
                <w:color w:val="auto"/>
                <w:sz w:val="28"/>
                <w:szCs w:val="28"/>
                <w:lang w:eastAsia="zh-CN"/>
              </w:rPr>
              <w:t>专栏4  养老服务数字赋能行动</w:t>
            </w:r>
          </w:p>
        </w:tc>
      </w:tr>
      <w:tr w14:paraId="16EC616F">
        <w:tblPrEx>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CellMar>
            <w:top w:w="0" w:type="dxa"/>
            <w:left w:w="108" w:type="dxa"/>
            <w:bottom w:w="0" w:type="dxa"/>
            <w:right w:w="108" w:type="dxa"/>
          </w:tblCellMar>
        </w:tblPrEx>
        <w:trPr>
          <w:jc w:val="center"/>
        </w:trPr>
        <w:tc>
          <w:tcPr>
            <w:tcW w:w="8960" w:type="dxa"/>
            <w:noWrap w:val="0"/>
            <w:tcMar>
              <w:top w:w="130" w:type="dxa"/>
              <w:left w:w="180" w:type="dxa"/>
              <w:bottom w:w="130" w:type="dxa"/>
              <w:right w:w="180" w:type="dxa"/>
            </w:tcMar>
            <w:vAlign w:val="top"/>
          </w:tcPr>
          <w:p w14:paraId="70EFCA1C">
            <w:pPr>
              <w:spacing w:line="576" w:lineRule="exact"/>
              <w:ind w:firstLine="562" w:firstLineChars="200"/>
              <w:rPr>
                <w:rFonts w:hint="default"/>
                <w:color w:val="auto"/>
                <w:lang w:val="en-US" w:eastAsia="zh-CN"/>
              </w:rPr>
            </w:pPr>
            <w:r>
              <w:rPr>
                <w:rFonts w:ascii="仿宋_GB2312" w:hAnsi="仿宋_GB2312" w:eastAsia="仿宋_GB2312" w:cs="仿宋_GB2312"/>
                <w:b/>
                <w:color w:val="auto"/>
                <w:sz w:val="28"/>
                <w:szCs w:val="28"/>
                <w:lang w:eastAsia="zh-CN"/>
              </w:rPr>
              <w:t>建设</w:t>
            </w:r>
            <w:r>
              <w:rPr>
                <w:rFonts w:hint="eastAsia" w:ascii="仿宋_GB2312" w:hAnsi="仿宋_GB2312" w:eastAsia="仿宋_GB2312" w:cs="仿宋_GB2312"/>
                <w:b/>
                <w:i w:val="0"/>
                <w:iCs w:val="0"/>
                <w:caps w:val="0"/>
                <w:color w:val="auto"/>
                <w:spacing w:val="0"/>
                <w:sz w:val="28"/>
                <w:szCs w:val="28"/>
                <w:shd w:val="clear" w:color="auto" w:fill="auto"/>
                <w:lang w:eastAsia="zh-CN"/>
              </w:rPr>
              <w:t>综合性养老服务平台</w:t>
            </w:r>
            <w:r>
              <w:rPr>
                <w:rFonts w:hint="eastAsia" w:ascii="仿宋_GB2312" w:hAnsi="仿宋_GB2312" w:eastAsia="仿宋_GB2312" w:cs="仿宋_GB2312"/>
                <w:b/>
                <w:bCs w:val="0"/>
                <w:color w:val="auto"/>
                <w:sz w:val="28"/>
                <w:szCs w:val="28"/>
                <w:lang w:eastAsia="zh-CN"/>
              </w:rPr>
              <w:t>。</w:t>
            </w:r>
            <w:r>
              <w:rPr>
                <w:rFonts w:hint="eastAsia" w:ascii="仿宋_GB2312" w:hAnsi="仿宋_GB2312" w:eastAsia="仿宋_GB2312" w:cs="仿宋_GB2312"/>
                <w:bCs/>
                <w:color w:val="auto"/>
                <w:sz w:val="28"/>
                <w:szCs w:val="28"/>
                <w:lang w:eastAsia="zh-CN"/>
              </w:rPr>
              <w:t>省级统一建设，全省统一使用，贯通省、州、县、乡、村五级，智慧调度城乡养老服务资源精准匹配与高效下沉。</w:t>
            </w:r>
            <w:r>
              <w:rPr>
                <w:rFonts w:hint="eastAsia" w:ascii="仿宋_GB2312" w:hAnsi="仿宋_GB2312" w:eastAsia="仿宋_GB2312" w:cs="仿宋_GB2312"/>
                <w:color w:val="auto"/>
                <w:sz w:val="28"/>
                <w:szCs w:val="28"/>
                <w:lang w:eastAsia="zh-CN"/>
              </w:rPr>
              <w:t>完善养老机构全流程在线管理体系，覆盖备案登记、等级评定、普惠认定、综合查询等核心环节，形成“准入—监管—退出”闭环管理，提升业务运行规范性与治理透明度。建设数智融合的综合监管与决策支撑体系。构建覆盖资金使用、运营分析、安全生产、服务质量的多维度监管模型，推进民政巡检、机构自检、隐患整改、重大事项报告等全流程线上化、标准化运作。推动数据协同和基层减负</w:t>
            </w:r>
            <w:r>
              <w:rPr>
                <w:rFonts w:hint="eastAsia" w:ascii="仿宋_GB2312" w:hAnsi="仿宋_GB2312" w:eastAsia="仿宋_GB2312" w:cs="仿宋_GB2312"/>
                <w:b/>
                <w:color w:val="auto"/>
                <w:sz w:val="28"/>
                <w:szCs w:val="28"/>
                <w:lang w:eastAsia="zh-CN"/>
              </w:rPr>
              <w:t>，</w:t>
            </w:r>
            <w:r>
              <w:rPr>
                <w:rFonts w:hint="eastAsia" w:ascii="仿宋_GB2312" w:hAnsi="仿宋_GB2312" w:eastAsia="仿宋_GB2312" w:cs="仿宋_GB2312"/>
                <w:color w:val="auto"/>
                <w:sz w:val="28"/>
                <w:szCs w:val="28"/>
                <w:lang w:eastAsia="zh-CN"/>
              </w:rPr>
              <w:t>相关数据一次采集、按需共享和复用，减少重复评估、多头填报和重复建账，加强个人信息保护、网络安全和统计监测。</w:t>
            </w:r>
          </w:p>
        </w:tc>
      </w:tr>
    </w:tbl>
    <w:p w14:paraId="042499C2">
      <w:pPr>
        <w:pStyle w:val="3"/>
        <w:spacing w:line="576" w:lineRule="exact"/>
        <w:ind w:firstLine="640" w:firstLineChars="200"/>
        <w:rPr>
          <w:rFonts w:ascii="楷体_GB2312" w:hAnsi="楷体_GB2312" w:eastAsia="楷体_GB2312" w:cs="楷体_GB2312"/>
          <w:b w:val="0"/>
          <w:bCs w:val="0"/>
          <w:color w:val="auto"/>
          <w:szCs w:val="32"/>
          <w:lang w:eastAsia="zh-CN"/>
        </w:rPr>
      </w:pPr>
      <w:r>
        <w:rPr>
          <w:rFonts w:hint="eastAsia" w:ascii="楷体_GB2312" w:hAnsi="楷体_GB2312" w:eastAsia="楷体_GB2312" w:cs="楷体_GB2312"/>
          <w:b w:val="0"/>
          <w:bCs w:val="0"/>
          <w:color w:val="auto"/>
          <w:szCs w:val="32"/>
          <w:lang w:eastAsia="zh-CN"/>
        </w:rPr>
        <w:t>（五）建设老年友好型社会</w:t>
      </w:r>
    </w:p>
    <w:p w14:paraId="2B51C29A">
      <w:pPr>
        <w:spacing w:line="576" w:lineRule="exact"/>
        <w:ind w:firstLine="640" w:firstLineChars="200"/>
        <w:rPr>
          <w:rFonts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加强敬老文化建设和权益保障。深入实施老年友好社会促进行动，全面推进老年友好型社区建设。开展人口老龄化国情省情教育及相关活动，推进中华孝亲敬老文化传承与创新。健全老年人医疗服务、政务服务、交通出行、文化体育等优待政策，完善法律援助、司法救助和消费维权机制，推动实施老年人意外伤害保险，持续开展防范养老诈骗、非法集资和侵害老年人权益宣传整治。推动社区综合为老服务中心和</w:t>
      </w:r>
      <w:r>
        <w:rPr>
          <w:rFonts w:hint="eastAsia" w:ascii="Times New Roman" w:hAnsi="Times New Roman" w:eastAsia="仿宋_GB2312" w:cs="仿宋_GB2312"/>
          <w:color w:val="auto"/>
          <w:sz w:val="32"/>
          <w:szCs w:val="32"/>
          <w:lang w:eastAsia="zh-CN"/>
        </w:rPr>
        <w:t>15</w:t>
      </w:r>
      <w:r>
        <w:rPr>
          <w:rFonts w:hint="eastAsia" w:ascii="仿宋_GB2312" w:hAnsi="仿宋_GB2312" w:eastAsia="仿宋_GB2312" w:cs="仿宋_GB2312"/>
          <w:color w:val="auto"/>
          <w:sz w:val="32"/>
          <w:szCs w:val="32"/>
          <w:lang w:eastAsia="zh-CN"/>
        </w:rPr>
        <w:t>分钟养老生活圈等涉老为老公共服务、便利设施有机嵌入社区。</w:t>
      </w:r>
    </w:p>
    <w:p w14:paraId="40D15243">
      <w:pPr>
        <w:spacing w:line="576" w:lineRule="exact"/>
        <w:ind w:firstLine="640" w:firstLineChars="200"/>
        <w:rPr>
          <w:rFonts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统筹推进公共设施、居住社区、家庭住宅适老化改造，结合城市更新、完整社区建设、老旧小区改造和宜居宜业和美乡村建设改善适老环境。持续开展智慧助老行动，推动涉老高频服务优化界面、简化流程并保留必要线下渠道。</w:t>
      </w:r>
    </w:p>
    <w:p w14:paraId="6B00806F">
      <w:pPr>
        <w:spacing w:line="576" w:lineRule="exact"/>
        <w:ind w:firstLine="640" w:firstLineChars="200"/>
        <w:rPr>
          <w:rFonts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扩大老年人社会参与，支持老年人参与基层治理。积极开发老年人力资源，构建制度化、系统化、常态化的老年人参与机制，加强基层老年协会培育发展，拓展适合老年人的多样化岗位，丰富老年人精神文化生活。</w:t>
      </w:r>
    </w:p>
    <w:tbl>
      <w:tblPr>
        <w:tblStyle w:val="5"/>
        <w:tblW w:w="8960" w:type="dxa"/>
        <w:jc w:val="center"/>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Layout w:type="autofit"/>
        <w:tblCellMar>
          <w:top w:w="0" w:type="dxa"/>
          <w:left w:w="108" w:type="dxa"/>
          <w:bottom w:w="0" w:type="dxa"/>
          <w:right w:w="108" w:type="dxa"/>
        </w:tblCellMar>
      </w:tblPr>
      <w:tblGrid>
        <w:gridCol w:w="8960"/>
      </w:tblGrid>
      <w:tr w14:paraId="04C84A9F">
        <w:tblPrEx>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CellMar>
            <w:top w:w="0" w:type="dxa"/>
            <w:left w:w="108" w:type="dxa"/>
            <w:bottom w:w="0" w:type="dxa"/>
            <w:right w:w="108" w:type="dxa"/>
          </w:tblCellMar>
        </w:tblPrEx>
        <w:trPr>
          <w:cantSplit/>
          <w:trHeight w:val="624" w:hRule="atLeast"/>
          <w:jc w:val="center"/>
        </w:trPr>
        <w:tc>
          <w:tcPr>
            <w:tcW w:w="8960" w:type="dxa"/>
            <w:shd w:val="clear" w:color="auto" w:fill="FFFFFF"/>
            <w:noWrap w:val="0"/>
            <w:tcMar>
              <w:top w:w="100" w:type="dxa"/>
              <w:left w:w="120" w:type="dxa"/>
              <w:bottom w:w="100" w:type="dxa"/>
              <w:right w:w="120" w:type="dxa"/>
            </w:tcMar>
            <w:vAlign w:val="center"/>
          </w:tcPr>
          <w:p w14:paraId="582A437A">
            <w:pPr>
              <w:keepNext/>
              <w:snapToGrid w:val="0"/>
              <w:spacing w:line="576" w:lineRule="exact"/>
              <w:ind w:firstLine="560" w:firstLineChars="200"/>
              <w:jc w:val="center"/>
              <w:rPr>
                <w:rFonts w:ascii="仿宋_GB2312" w:hAnsi="仿宋_GB2312" w:eastAsia="仿宋_GB2312" w:cs="仿宋_GB2312"/>
                <w:color w:val="auto"/>
                <w:sz w:val="32"/>
                <w:szCs w:val="32"/>
                <w:lang w:eastAsia="zh-CN"/>
              </w:rPr>
            </w:pPr>
            <w:r>
              <w:rPr>
                <w:rFonts w:hint="eastAsia" w:ascii="黑体" w:hAnsi="黑体" w:eastAsia="黑体" w:cs="黑体"/>
                <w:bCs/>
                <w:color w:val="auto"/>
                <w:sz w:val="28"/>
                <w:szCs w:val="28"/>
                <w:lang w:eastAsia="zh-CN"/>
              </w:rPr>
              <w:t>专栏</w:t>
            </w:r>
            <w:r>
              <w:rPr>
                <w:rFonts w:hint="eastAsia" w:ascii="黑体" w:hAnsi="黑体" w:eastAsia="黑体" w:cs="黑体"/>
                <w:bCs/>
                <w:color w:val="auto"/>
                <w:sz w:val="28"/>
                <w:szCs w:val="28"/>
                <w:lang w:val="en-US" w:eastAsia="zh-CN"/>
              </w:rPr>
              <w:t>5</w:t>
            </w:r>
            <w:r>
              <w:rPr>
                <w:rFonts w:hint="eastAsia" w:ascii="黑体" w:hAnsi="黑体" w:eastAsia="黑体" w:cs="黑体"/>
                <w:bCs/>
                <w:color w:val="auto"/>
                <w:sz w:val="28"/>
                <w:szCs w:val="28"/>
                <w:lang w:eastAsia="zh-CN"/>
              </w:rPr>
              <w:t xml:space="preserve">  老年友好型社会建设行动</w:t>
            </w:r>
          </w:p>
        </w:tc>
      </w:tr>
      <w:tr w14:paraId="24395A7B">
        <w:tblPrEx>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CellMar>
            <w:top w:w="0" w:type="dxa"/>
            <w:left w:w="108" w:type="dxa"/>
            <w:bottom w:w="0" w:type="dxa"/>
            <w:right w:w="108" w:type="dxa"/>
          </w:tblCellMar>
        </w:tblPrEx>
        <w:trPr>
          <w:cantSplit/>
          <w:jc w:val="center"/>
        </w:trPr>
        <w:tc>
          <w:tcPr>
            <w:tcW w:w="8960" w:type="dxa"/>
            <w:noWrap w:val="0"/>
            <w:tcMar>
              <w:top w:w="130" w:type="dxa"/>
              <w:left w:w="180" w:type="dxa"/>
              <w:bottom w:w="130" w:type="dxa"/>
              <w:right w:w="180" w:type="dxa"/>
            </w:tcMar>
            <w:vAlign w:val="top"/>
          </w:tcPr>
          <w:p w14:paraId="4C3B582C">
            <w:pPr>
              <w:keepLines/>
              <w:spacing w:after="80"/>
              <w:ind w:firstLine="562" w:firstLineChars="200"/>
              <w:rPr>
                <w:rFonts w:ascii="仿宋_GB2312" w:hAnsi="仿宋_GB2312" w:eastAsia="仿宋_GB2312" w:cs="仿宋_GB2312"/>
                <w:color w:val="auto"/>
                <w:sz w:val="28"/>
                <w:szCs w:val="28"/>
                <w:lang w:eastAsia="zh-CN"/>
              </w:rPr>
            </w:pPr>
            <w:r>
              <w:rPr>
                <w:rFonts w:hint="eastAsia" w:ascii="仿宋_GB2312" w:hAnsi="仿宋_GB2312" w:eastAsia="仿宋_GB2312" w:cs="仿宋_GB2312"/>
                <w:b/>
                <w:color w:val="auto"/>
                <w:sz w:val="28"/>
                <w:szCs w:val="28"/>
                <w:lang w:eastAsia="zh-CN"/>
              </w:rPr>
              <w:t>1.特殊困难老年人家庭适老化改造。</w:t>
            </w:r>
            <w:r>
              <w:rPr>
                <w:rFonts w:hint="eastAsia" w:ascii="仿宋_GB2312" w:hAnsi="仿宋_GB2312" w:eastAsia="仿宋_GB2312" w:cs="仿宋_GB2312"/>
                <w:color w:val="auto"/>
                <w:sz w:val="28"/>
                <w:szCs w:val="28"/>
                <w:lang w:eastAsia="zh-CN"/>
              </w:rPr>
              <w:t>聚焦纳入分散特困供养范围的失能、高龄、残疾老年人家庭，按照自愿申请、需求评估、一户一策原则实施改造，推动适老化设施、康复辅助器具和智能安全监护产品衔接配置。</w:t>
            </w:r>
          </w:p>
          <w:p w14:paraId="438C648A">
            <w:pPr>
              <w:keepLines/>
              <w:spacing w:after="80"/>
              <w:ind w:firstLine="562" w:firstLineChars="200"/>
              <w:rPr>
                <w:rFonts w:ascii="仿宋_GB2312" w:hAnsi="仿宋_GB2312" w:eastAsia="仿宋_GB2312" w:cs="仿宋_GB2312"/>
                <w:color w:val="auto"/>
                <w:sz w:val="28"/>
                <w:szCs w:val="28"/>
                <w:lang w:eastAsia="zh-CN"/>
              </w:rPr>
            </w:pPr>
            <w:r>
              <w:rPr>
                <w:rFonts w:hint="eastAsia" w:ascii="仿宋_GB2312" w:hAnsi="仿宋_GB2312" w:eastAsia="仿宋_GB2312" w:cs="仿宋_GB2312"/>
                <w:b/>
                <w:color w:val="auto"/>
                <w:sz w:val="28"/>
                <w:szCs w:val="28"/>
                <w:lang w:eastAsia="zh-CN"/>
              </w:rPr>
              <w:t>2.承办全国老年人体育健身大会项目</w:t>
            </w:r>
            <w:r>
              <w:rPr>
                <w:rFonts w:hint="eastAsia" w:ascii="仿宋_GB2312" w:hAnsi="仿宋_GB2312" w:eastAsia="仿宋_GB2312" w:cs="仿宋_GB2312"/>
                <w:color w:val="auto"/>
                <w:sz w:val="28"/>
                <w:szCs w:val="28"/>
                <w:lang w:eastAsia="zh-CN"/>
              </w:rPr>
              <w:t>。</w:t>
            </w:r>
          </w:p>
          <w:p w14:paraId="0EA857D0">
            <w:pPr>
              <w:ind w:firstLine="562" w:firstLineChars="200"/>
              <w:rPr>
                <w:rFonts w:ascii="仿宋_GB2312" w:hAnsi="仿宋_GB2312" w:eastAsia="仿宋_GB2312" w:cs="仿宋_GB2312"/>
                <w:color w:val="auto"/>
                <w:sz w:val="28"/>
                <w:szCs w:val="28"/>
                <w:lang w:eastAsia="zh-CN"/>
              </w:rPr>
            </w:pPr>
            <w:r>
              <w:rPr>
                <w:rFonts w:hint="eastAsia" w:ascii="仿宋_GB2312" w:hAnsi="仿宋_GB2312" w:eastAsia="仿宋_GB2312" w:cs="仿宋_GB2312"/>
                <w:b/>
                <w:color w:val="auto"/>
                <w:sz w:val="28"/>
                <w:szCs w:val="28"/>
                <w:lang w:eastAsia="zh-CN"/>
              </w:rPr>
              <w:t>3.开展“云尚有你·银龄彩云南”行动。</w:t>
            </w:r>
            <w:r>
              <w:rPr>
                <w:rFonts w:hint="eastAsia" w:ascii="仿宋_GB2312" w:hAnsi="仿宋_GB2312" w:eastAsia="仿宋_GB2312" w:cs="仿宋_GB2312"/>
                <w:color w:val="auto"/>
                <w:sz w:val="28"/>
                <w:szCs w:val="28"/>
                <w:lang w:eastAsia="zh-CN"/>
              </w:rPr>
              <w:t>完善银龄人才和志愿服务项目对接机制，组织老年人参与乡村振兴、文明实践、社区治理、文化传承和互助养老，培育具有云南辨识度的银龄志愿服务项目。</w:t>
            </w:r>
          </w:p>
          <w:p w14:paraId="158A2F9D">
            <w:pPr>
              <w:pStyle w:val="3"/>
              <w:spacing w:line="560" w:lineRule="exact"/>
              <w:ind w:firstLine="562" w:firstLineChars="200"/>
              <w:rPr>
                <w:rFonts w:ascii="仿宋_GB2312" w:hAnsi="仿宋_GB2312" w:eastAsia="仿宋_GB2312" w:cs="仿宋_GB2312"/>
                <w:color w:val="auto"/>
                <w:szCs w:val="32"/>
                <w:lang w:eastAsia="zh-CN"/>
              </w:rPr>
            </w:pPr>
            <w:r>
              <w:rPr>
                <w:rFonts w:hint="eastAsia" w:ascii="仿宋_GB2312" w:hAnsi="仿宋_GB2312" w:eastAsia="仿宋_GB2312" w:cs="仿宋_GB2312"/>
                <w:bCs w:val="0"/>
                <w:color w:val="auto"/>
                <w:sz w:val="28"/>
                <w:szCs w:val="28"/>
                <w:lang w:eastAsia="zh-CN"/>
              </w:rPr>
              <w:t>4.</w:t>
            </w:r>
            <w:r>
              <w:rPr>
                <w:rFonts w:hint="eastAsia" w:ascii="仿宋_GB2312" w:hAnsi="仿宋_GB2312" w:eastAsia="仿宋_GB2312" w:cs="仿宋_GB2312"/>
                <w:color w:val="auto"/>
                <w:sz w:val="28"/>
                <w:szCs w:val="28"/>
                <w:lang w:eastAsia="zh-CN"/>
              </w:rPr>
              <w:t>推广“银发先锋”机制与“云岭银发智库”平台等有效经验及做法。</w:t>
            </w:r>
            <w:r>
              <w:rPr>
                <w:rFonts w:hint="eastAsia" w:ascii="仿宋_GB2312" w:hAnsi="仿宋_GB2312" w:eastAsia="仿宋_GB2312" w:cs="仿宋_GB2312"/>
                <w:b w:val="0"/>
                <w:bCs w:val="0"/>
                <w:color w:val="auto"/>
                <w:sz w:val="28"/>
                <w:szCs w:val="28"/>
                <w:lang w:eastAsia="zh-CN"/>
              </w:rPr>
              <w:t>引导离退休老干部、老党员参与基层治理、民族团结、乡村振兴等工作。到</w:t>
            </w:r>
            <w:r>
              <w:rPr>
                <w:rFonts w:hint="eastAsia" w:ascii="Times New Roman" w:hAnsi="Times New Roman" w:eastAsia="仿宋_GB2312" w:cs="仿宋_GB2312"/>
                <w:b w:val="0"/>
                <w:bCs w:val="0"/>
                <w:color w:val="auto"/>
                <w:sz w:val="28"/>
                <w:szCs w:val="28"/>
                <w:lang w:eastAsia="zh-CN"/>
              </w:rPr>
              <w:t>2030</w:t>
            </w:r>
            <w:r>
              <w:rPr>
                <w:rFonts w:hint="eastAsia" w:ascii="仿宋_GB2312" w:hAnsi="仿宋_GB2312" w:eastAsia="仿宋_GB2312" w:cs="仿宋_GB2312"/>
                <w:b w:val="0"/>
                <w:bCs w:val="0"/>
                <w:color w:val="auto"/>
                <w:sz w:val="28"/>
                <w:szCs w:val="28"/>
                <w:lang w:eastAsia="zh-CN"/>
              </w:rPr>
              <w:t>年，老年人社会活动参与率达到</w:t>
            </w:r>
            <w:r>
              <w:rPr>
                <w:rFonts w:hint="eastAsia" w:ascii="Times New Roman" w:hAnsi="Times New Roman" w:eastAsia="仿宋_GB2312" w:cs="仿宋_GB2312"/>
                <w:b w:val="0"/>
                <w:bCs w:val="0"/>
                <w:color w:val="auto"/>
                <w:sz w:val="28"/>
                <w:szCs w:val="28"/>
                <w:lang w:eastAsia="zh-CN"/>
              </w:rPr>
              <w:t>60</w:t>
            </w:r>
            <w:r>
              <w:rPr>
                <w:rFonts w:hint="eastAsia" w:ascii="仿宋_GB2312" w:hAnsi="仿宋_GB2312" w:eastAsia="仿宋_GB2312" w:cs="仿宋_GB2312"/>
                <w:b w:val="0"/>
                <w:bCs w:val="0"/>
                <w:color w:val="auto"/>
                <w:sz w:val="28"/>
                <w:szCs w:val="28"/>
                <w:lang w:eastAsia="zh-CN"/>
              </w:rPr>
              <w:t>%以上，基层老年协会覆盖率达到</w:t>
            </w:r>
            <w:r>
              <w:rPr>
                <w:rFonts w:hint="eastAsia" w:ascii="Times New Roman" w:hAnsi="Times New Roman" w:eastAsia="仿宋_GB2312" w:cs="仿宋_GB2312"/>
                <w:b w:val="0"/>
                <w:bCs w:val="0"/>
                <w:color w:val="auto"/>
                <w:sz w:val="28"/>
                <w:szCs w:val="28"/>
                <w:lang w:eastAsia="zh-CN"/>
              </w:rPr>
              <w:t>80</w:t>
            </w:r>
            <w:r>
              <w:rPr>
                <w:rFonts w:hint="eastAsia" w:ascii="仿宋_GB2312" w:hAnsi="仿宋_GB2312" w:eastAsia="仿宋_GB2312" w:cs="仿宋_GB2312"/>
                <w:b w:val="0"/>
                <w:bCs w:val="0"/>
                <w:color w:val="auto"/>
                <w:sz w:val="28"/>
                <w:szCs w:val="28"/>
                <w:lang w:eastAsia="zh-CN"/>
              </w:rPr>
              <w:t>%以上。</w:t>
            </w:r>
          </w:p>
        </w:tc>
      </w:tr>
    </w:tbl>
    <w:p w14:paraId="1EF9A41C">
      <w:pPr>
        <w:pStyle w:val="3"/>
        <w:spacing w:line="560" w:lineRule="exact"/>
        <w:ind w:firstLine="480" w:firstLineChars="150"/>
        <w:rPr>
          <w:rFonts w:ascii="楷体_GB2312" w:hAnsi="楷体_GB2312" w:eastAsia="楷体_GB2312" w:cs="楷体_GB2312"/>
          <w:b w:val="0"/>
          <w:bCs w:val="0"/>
          <w:color w:val="auto"/>
          <w:szCs w:val="32"/>
          <w:lang w:eastAsia="zh-CN"/>
        </w:rPr>
      </w:pPr>
      <w:r>
        <w:rPr>
          <w:rFonts w:hint="eastAsia" w:ascii="楷体_GB2312" w:hAnsi="楷体_GB2312" w:eastAsia="楷体_GB2312" w:cs="楷体_GB2312"/>
          <w:b w:val="0"/>
          <w:bCs w:val="0"/>
          <w:color w:val="auto"/>
          <w:szCs w:val="32"/>
          <w:lang w:eastAsia="zh-CN"/>
        </w:rPr>
        <w:t>（六）促进银发经济发展</w:t>
      </w:r>
    </w:p>
    <w:p w14:paraId="33F025F7">
      <w:pPr>
        <w:ind w:firstLine="640" w:firstLineChars="200"/>
        <w:rPr>
          <w:rFonts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加强政策创制和引领。引导产业合理布局、强化政策支撑。发挥国有资本在基础设施与公共服务平台建设中的引领和示范作用。支持国有企业、民营企业、社会组织、外资企业等依法平等参与养老服务。建立健全企业梯度培育机制，推动银发经济产业园区建设，重点扶持银发经济领域高新技术企业、“专精特新”企业发展，鼓励符合条件的银发经济企业上市融资。</w:t>
      </w:r>
    </w:p>
    <w:p w14:paraId="537F7E10">
      <w:pPr>
        <w:widowControl w:val="0"/>
        <w:overflowPunct w:val="0"/>
        <w:spacing w:line="576" w:lineRule="exact"/>
        <w:ind w:firstLine="640" w:firstLineChars="200"/>
        <w:rPr>
          <w:rFonts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推动产业融合和品牌建设。促进养老服务与医疗、康复、教育、文化旅游、体育、高原特色农业等融合发展，丰富养老金融产品供给，推动银发经济规模化、标准化、集群化、品牌化发展。依托云南面向南亚东南亚的区位优势，渝昆高铁通车机遇，吸引国内外资源集聚，推动银发经济产业更高质量的发展。</w:t>
      </w:r>
    </w:p>
    <w:p w14:paraId="2264E5F7">
      <w:pPr>
        <w:spacing w:line="576" w:lineRule="exact"/>
        <w:ind w:firstLine="640" w:firstLineChars="200"/>
        <w:rPr>
          <w:rFonts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优化银龄消费环境。鼓励通过发放养老服务消费券、建立老年用品消费补贴制度等方式，促进银龄消费。推进云南省旅居康养服务、老年辅助器具等地方标准与认证体系建设，激励产品创新，完善涉老产品与服务领域监督体系，定期开展侵权专项整治行动。</w:t>
      </w:r>
    </w:p>
    <w:tbl>
      <w:tblPr>
        <w:tblStyle w:val="5"/>
        <w:tblW w:w="8960" w:type="dxa"/>
        <w:jc w:val="center"/>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Layout w:type="autofit"/>
        <w:tblCellMar>
          <w:top w:w="0" w:type="dxa"/>
          <w:left w:w="108" w:type="dxa"/>
          <w:bottom w:w="0" w:type="dxa"/>
          <w:right w:w="108" w:type="dxa"/>
        </w:tblCellMar>
      </w:tblPr>
      <w:tblGrid>
        <w:gridCol w:w="8960"/>
      </w:tblGrid>
      <w:tr w14:paraId="2CE53146">
        <w:tblPrEx>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CellMar>
            <w:top w:w="0" w:type="dxa"/>
            <w:left w:w="108" w:type="dxa"/>
            <w:bottom w:w="0" w:type="dxa"/>
            <w:right w:w="108" w:type="dxa"/>
          </w:tblCellMar>
        </w:tblPrEx>
        <w:trPr>
          <w:trHeight w:val="624" w:hRule="atLeast"/>
          <w:jc w:val="center"/>
        </w:trPr>
        <w:tc>
          <w:tcPr>
            <w:tcW w:w="8960" w:type="dxa"/>
            <w:shd w:val="clear" w:color="auto" w:fill="FFFFFF"/>
            <w:noWrap w:val="0"/>
            <w:tcMar>
              <w:top w:w="100" w:type="dxa"/>
              <w:left w:w="120" w:type="dxa"/>
              <w:bottom w:w="100" w:type="dxa"/>
              <w:right w:w="120" w:type="dxa"/>
            </w:tcMar>
            <w:vAlign w:val="center"/>
          </w:tcPr>
          <w:p w14:paraId="7B31DAC0">
            <w:pPr>
              <w:keepNext/>
              <w:snapToGrid w:val="0"/>
              <w:spacing w:line="576" w:lineRule="exact"/>
              <w:ind w:firstLine="560" w:firstLineChars="200"/>
              <w:jc w:val="center"/>
              <w:rPr>
                <w:rFonts w:ascii="黑体" w:hAnsi="黑体" w:eastAsia="黑体" w:cs="黑体"/>
                <w:bCs/>
                <w:color w:val="auto"/>
                <w:sz w:val="28"/>
                <w:szCs w:val="28"/>
                <w:lang w:eastAsia="zh-CN"/>
              </w:rPr>
            </w:pPr>
            <w:r>
              <w:rPr>
                <w:rFonts w:hint="eastAsia" w:ascii="黑体" w:hAnsi="黑体" w:eastAsia="黑体" w:cs="黑体"/>
                <w:bCs/>
                <w:color w:val="auto"/>
                <w:sz w:val="28"/>
                <w:szCs w:val="28"/>
                <w:lang w:eastAsia="zh-CN"/>
              </w:rPr>
              <w:t>专栏</w:t>
            </w:r>
            <w:r>
              <w:rPr>
                <w:rFonts w:hint="eastAsia" w:ascii="黑体" w:hAnsi="黑体" w:eastAsia="黑体" w:cs="黑体"/>
                <w:bCs/>
                <w:color w:val="auto"/>
                <w:sz w:val="28"/>
                <w:szCs w:val="28"/>
                <w:lang w:val="en-US" w:eastAsia="zh-CN"/>
              </w:rPr>
              <w:t>6</w:t>
            </w:r>
            <w:r>
              <w:rPr>
                <w:rFonts w:hint="eastAsia" w:ascii="黑体" w:hAnsi="黑体" w:eastAsia="黑体" w:cs="黑体"/>
                <w:bCs/>
                <w:color w:val="auto"/>
                <w:sz w:val="28"/>
                <w:szCs w:val="28"/>
                <w:lang w:eastAsia="zh-CN"/>
              </w:rPr>
              <w:t xml:space="preserve">  银发经济激活行动</w:t>
            </w:r>
          </w:p>
        </w:tc>
      </w:tr>
      <w:tr w14:paraId="03C313F1">
        <w:tblPrEx>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CellMar>
            <w:top w:w="0" w:type="dxa"/>
            <w:left w:w="108" w:type="dxa"/>
            <w:bottom w:w="0" w:type="dxa"/>
            <w:right w:w="108" w:type="dxa"/>
          </w:tblCellMar>
        </w:tblPrEx>
        <w:trPr>
          <w:jc w:val="center"/>
        </w:trPr>
        <w:tc>
          <w:tcPr>
            <w:tcW w:w="8960" w:type="dxa"/>
            <w:noWrap w:val="0"/>
            <w:tcMar>
              <w:top w:w="130" w:type="dxa"/>
              <w:left w:w="180" w:type="dxa"/>
              <w:bottom w:w="130" w:type="dxa"/>
              <w:right w:w="180" w:type="dxa"/>
            </w:tcMar>
            <w:vAlign w:val="top"/>
          </w:tcPr>
          <w:p w14:paraId="1AA4246A">
            <w:pPr>
              <w:keepLines/>
              <w:ind w:firstLine="562" w:firstLineChars="200"/>
              <w:rPr>
                <w:rFonts w:ascii="仿宋_GB2312" w:hAnsi="仿宋_GB2312" w:eastAsia="仿宋_GB2312" w:cs="仿宋_GB2312"/>
                <w:color w:val="auto"/>
                <w:sz w:val="28"/>
                <w:szCs w:val="28"/>
                <w:lang w:eastAsia="zh-CN"/>
              </w:rPr>
            </w:pPr>
            <w:r>
              <w:rPr>
                <w:rFonts w:hint="eastAsia" w:ascii="仿宋_GB2312" w:hAnsi="仿宋_GB2312" w:eastAsia="仿宋_GB2312" w:cs="仿宋_GB2312"/>
                <w:b/>
                <w:color w:val="auto"/>
                <w:sz w:val="28"/>
                <w:szCs w:val="28"/>
                <w:lang w:eastAsia="zh-CN"/>
              </w:rPr>
              <w:t>1.银发经济重点项目储备。</w:t>
            </w:r>
            <w:r>
              <w:rPr>
                <w:rFonts w:hint="eastAsia" w:ascii="仿宋_GB2312" w:hAnsi="仿宋_GB2312" w:eastAsia="仿宋_GB2312" w:cs="仿宋_GB2312"/>
                <w:color w:val="auto"/>
                <w:sz w:val="28"/>
                <w:szCs w:val="28"/>
                <w:lang w:eastAsia="zh-CN"/>
              </w:rPr>
              <w:t>围绕教学、生产、研发、管理、服务等领域动态谋划储备百个以上银发经济招商项目，依托各类节庆、展会和招商活动开展项目推介、供需对接和招大引强。</w:t>
            </w:r>
          </w:p>
          <w:p w14:paraId="781DF2B0">
            <w:pPr>
              <w:keepLines/>
              <w:ind w:firstLine="562" w:firstLineChars="200"/>
              <w:rPr>
                <w:rFonts w:ascii="仿宋_GB2312" w:hAnsi="仿宋_GB2312" w:eastAsia="仿宋_GB2312" w:cs="仿宋_GB2312"/>
                <w:color w:val="auto"/>
                <w:sz w:val="28"/>
                <w:szCs w:val="28"/>
                <w:lang w:eastAsia="zh-CN"/>
              </w:rPr>
            </w:pPr>
            <w:r>
              <w:rPr>
                <w:rFonts w:hint="eastAsia" w:ascii="仿宋_GB2312" w:hAnsi="仿宋_GB2312" w:eastAsia="仿宋_GB2312" w:cs="仿宋_GB2312"/>
                <w:b/>
                <w:color w:val="auto"/>
                <w:sz w:val="28"/>
                <w:szCs w:val="28"/>
                <w:lang w:eastAsia="zh-CN"/>
              </w:rPr>
              <w:t>2.旅居康养试点推广。</w:t>
            </w:r>
            <w:r>
              <w:rPr>
                <w:rFonts w:hint="eastAsia" w:ascii="仿宋_GB2312" w:hAnsi="仿宋_GB2312" w:eastAsia="仿宋_GB2312" w:cs="仿宋_GB2312"/>
                <w:color w:val="auto"/>
                <w:sz w:val="28"/>
                <w:szCs w:val="28"/>
                <w:lang w:eastAsia="zh-CN"/>
              </w:rPr>
              <w:t>支持西双版纳、普洱、大理、丽江、保山、德宏、昆明、曲靖、玉溪等旅居养老产业基础较好、文旅资源富集地区，以旅居生活社区为单元开展服务模式、产品线路和运营机制探索，规范发展旅居养老和异地养老服务，推进跨区域协同养老和互动式异地养老，完善服务衔接、保障、应急等机制的建立。鼓励部分具备市场化运营条件的养老服务机构</w:t>
            </w:r>
            <w:r>
              <w:rPr>
                <w:rFonts w:hint="eastAsia" w:ascii="仿宋_GB2312" w:hAnsi="仿宋_GB2312" w:eastAsia="仿宋_GB2312" w:cs="仿宋_GB2312"/>
                <w:color w:val="auto"/>
                <w:sz w:val="28"/>
                <w:szCs w:val="28"/>
                <w:lang w:val="en-US" w:eastAsia="zh-CN"/>
              </w:rPr>
              <w:t>按照市场需求对设施设备进行提升改造，</w:t>
            </w:r>
            <w:r>
              <w:rPr>
                <w:rFonts w:hint="eastAsia" w:ascii="仿宋_GB2312" w:hAnsi="仿宋_GB2312" w:eastAsia="仿宋_GB2312" w:cs="仿宋_GB2312"/>
                <w:color w:val="auto"/>
                <w:sz w:val="28"/>
                <w:szCs w:val="28"/>
                <w:lang w:eastAsia="zh-CN"/>
              </w:rPr>
              <w:t>将剩余床位用于发展旅居养老。</w:t>
            </w:r>
          </w:p>
          <w:p w14:paraId="1B761DB0">
            <w:pPr>
              <w:keepLines/>
              <w:ind w:firstLine="562" w:firstLineChars="200"/>
              <w:rPr>
                <w:rFonts w:ascii="仿宋_GB2312" w:hAnsi="仿宋_GB2312" w:eastAsia="仿宋_GB2312" w:cs="仿宋_GB2312"/>
                <w:color w:val="auto"/>
                <w:sz w:val="28"/>
                <w:szCs w:val="28"/>
                <w:lang w:eastAsia="zh-CN"/>
              </w:rPr>
            </w:pPr>
            <w:r>
              <w:rPr>
                <w:rFonts w:hint="eastAsia" w:ascii="仿宋_GB2312" w:hAnsi="仿宋_GB2312" w:eastAsia="仿宋_GB2312" w:cs="仿宋_GB2312"/>
                <w:b/>
                <w:color w:val="auto"/>
                <w:sz w:val="28"/>
                <w:szCs w:val="28"/>
                <w:lang w:eastAsia="zh-CN"/>
              </w:rPr>
              <w:t>3.养老服务联盟和品牌推广。</w:t>
            </w:r>
            <w:r>
              <w:rPr>
                <w:rFonts w:hint="eastAsia" w:ascii="仿宋_GB2312" w:hAnsi="仿宋_GB2312" w:eastAsia="仿宋_GB2312" w:cs="仿宋_GB2312"/>
                <w:color w:val="auto"/>
                <w:sz w:val="28"/>
                <w:szCs w:val="28"/>
                <w:lang w:eastAsia="zh-CN"/>
              </w:rPr>
              <w:t>支持实力较强的机构牵头组建养老服务联盟，深化跨区域旅居养老合作和资源对接，开发旅居养老精品线路和服务产品，持续提升“七彩云南·康养福地”品牌影响力。</w:t>
            </w:r>
          </w:p>
          <w:p w14:paraId="441350FF">
            <w:pPr>
              <w:keepLines/>
              <w:spacing w:after="80"/>
              <w:ind w:firstLine="562" w:firstLineChars="200"/>
              <w:rPr>
                <w:rFonts w:ascii="仿宋_GB2312" w:hAnsi="仿宋_GB2312" w:eastAsia="仿宋_GB2312" w:cs="仿宋_GB2312"/>
                <w:color w:val="auto"/>
                <w:sz w:val="28"/>
                <w:szCs w:val="28"/>
                <w:lang w:eastAsia="zh-CN"/>
              </w:rPr>
            </w:pPr>
            <w:r>
              <w:rPr>
                <w:rFonts w:hint="eastAsia" w:ascii="仿宋_GB2312" w:hAnsi="仿宋_GB2312" w:eastAsia="仿宋_GB2312" w:cs="仿宋_GB2312"/>
                <w:b/>
                <w:color w:val="auto"/>
                <w:sz w:val="28"/>
                <w:szCs w:val="28"/>
                <w:lang w:eastAsia="zh-CN"/>
              </w:rPr>
              <w:t>4.适老产品体验应用推广。</w:t>
            </w:r>
            <w:r>
              <w:rPr>
                <w:rFonts w:hint="eastAsia" w:ascii="仿宋_GB2312" w:hAnsi="仿宋_GB2312" w:eastAsia="仿宋_GB2312" w:cs="仿宋_GB2312"/>
                <w:color w:val="auto"/>
                <w:sz w:val="28"/>
                <w:szCs w:val="28"/>
                <w:lang w:eastAsia="zh-CN"/>
              </w:rPr>
              <w:t>围绕康复辅助器具、智慧健康养老、护理用品、老年食品和家庭照护用品等，支持建设线上线下融合专柜、体验店和应用场景，促进产品展示、体验、租赁和供需对接。</w:t>
            </w:r>
          </w:p>
          <w:p w14:paraId="16547851">
            <w:pPr>
              <w:keepLines/>
              <w:spacing w:after="80"/>
              <w:ind w:firstLine="562" w:firstLineChars="200"/>
              <w:rPr>
                <w:rFonts w:ascii="仿宋_GB2312" w:hAnsi="仿宋_GB2312" w:eastAsia="仿宋_GB2312" w:cs="仿宋_GB2312"/>
                <w:color w:val="auto"/>
                <w:sz w:val="32"/>
                <w:szCs w:val="32"/>
                <w:lang w:eastAsia="zh-CN"/>
              </w:rPr>
            </w:pPr>
            <w:r>
              <w:rPr>
                <w:rFonts w:hint="eastAsia" w:ascii="仿宋_GB2312" w:hAnsi="仿宋_GB2312" w:eastAsia="仿宋_GB2312" w:cs="仿宋_GB2312"/>
                <w:b/>
                <w:color w:val="auto"/>
                <w:sz w:val="28"/>
                <w:szCs w:val="28"/>
                <w:lang w:eastAsia="zh-CN"/>
              </w:rPr>
              <w:t>5.优化银龄消费环境。</w:t>
            </w:r>
            <w:r>
              <w:rPr>
                <w:rFonts w:hint="eastAsia" w:ascii="仿宋_GB2312" w:hAnsi="仿宋_GB2312" w:eastAsia="仿宋_GB2312" w:cs="仿宋_GB2312"/>
                <w:color w:val="auto"/>
                <w:sz w:val="28"/>
                <w:szCs w:val="28"/>
                <w:lang w:eastAsia="zh-CN"/>
              </w:rPr>
              <w:t>建立“银发顾问”或“养老顾问”服务体系，为老年人提供个性化的政策解读与申领指导。创新开展“云南养老消费季”、“七彩银龄购物节”等主题促消费活动，支持企业开发体验式、互动式服务消费场景。</w:t>
            </w:r>
          </w:p>
        </w:tc>
      </w:tr>
    </w:tbl>
    <w:p w14:paraId="1885A52B">
      <w:pPr>
        <w:pStyle w:val="3"/>
        <w:spacing w:line="576" w:lineRule="exact"/>
        <w:ind w:firstLine="640" w:firstLineChars="200"/>
        <w:rPr>
          <w:rFonts w:ascii="楷体_GB2312" w:hAnsi="楷体_GB2312" w:eastAsia="楷体_GB2312" w:cs="楷体_GB2312"/>
          <w:b w:val="0"/>
          <w:bCs w:val="0"/>
          <w:color w:val="auto"/>
          <w:szCs w:val="32"/>
          <w:lang w:eastAsia="zh-CN"/>
        </w:rPr>
      </w:pPr>
      <w:r>
        <w:rPr>
          <w:rFonts w:hint="eastAsia" w:ascii="楷体_GB2312" w:hAnsi="楷体_GB2312" w:eastAsia="楷体_GB2312" w:cs="楷体_GB2312"/>
          <w:b w:val="0"/>
          <w:bCs w:val="0"/>
          <w:color w:val="auto"/>
          <w:szCs w:val="32"/>
          <w:lang w:eastAsia="zh-CN"/>
        </w:rPr>
        <w:t>（七）加强人才队伍建设</w:t>
      </w:r>
    </w:p>
    <w:p w14:paraId="121FA80B">
      <w:pPr>
        <w:spacing w:line="576" w:lineRule="exact"/>
        <w:ind w:firstLine="640" w:firstLineChars="200"/>
        <w:rPr>
          <w:rFonts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系统化构建养老服务能力提升及人才培训体系。支持普通高校、职业院校、技工院校等加强养老服务相关专业建设，深化校企合作和产教融合。支持一批省内优质的养老机构创建为实习实训基地。推动建立全省养老机构负责人、养老护理员等养老服务人员入职培训及定期培训机制。加大培育职业技能等级认定第三方评价机构的建设和培育力度。完善养老服务职业技能培训、等级认定和质量监管，拓展养老服务人才职业发展通道，推动培训、评价、使用和激励有效贯通。持续开展养老护理员、长期照护师等职业技能等级认定考试，鼓励支持农村转移劳动力、城镇登记失业人员以及其他符合条件的劳动者参加培训。</w:t>
      </w:r>
    </w:p>
    <w:p w14:paraId="1FA14A0D">
      <w:pPr>
        <w:spacing w:line="576" w:lineRule="exact"/>
        <w:ind w:firstLine="640" w:firstLineChars="200"/>
        <w:rPr>
          <w:rFonts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强化人才使用和保障。健全养老服务人才岗位使用、薪酬待遇、职业荣誉和权益保障机制，支持各地对失能失智照护、农村基层和边疆民族地区养老服务岗位给予适当支持。加强从业人员职业道德、服务规范和安全责任教育，提高专业能力和稳定就业水平。</w:t>
      </w:r>
    </w:p>
    <w:tbl>
      <w:tblPr>
        <w:tblStyle w:val="5"/>
        <w:tblW w:w="8960" w:type="dxa"/>
        <w:jc w:val="center"/>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Layout w:type="autofit"/>
        <w:tblCellMar>
          <w:top w:w="0" w:type="dxa"/>
          <w:left w:w="108" w:type="dxa"/>
          <w:bottom w:w="0" w:type="dxa"/>
          <w:right w:w="108" w:type="dxa"/>
        </w:tblCellMar>
      </w:tblPr>
      <w:tblGrid>
        <w:gridCol w:w="8960"/>
      </w:tblGrid>
      <w:tr w14:paraId="0152B884">
        <w:tblPrEx>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CellMar>
            <w:top w:w="0" w:type="dxa"/>
            <w:left w:w="108" w:type="dxa"/>
            <w:bottom w:w="0" w:type="dxa"/>
            <w:right w:w="108" w:type="dxa"/>
          </w:tblCellMar>
        </w:tblPrEx>
        <w:trPr>
          <w:cantSplit/>
          <w:trHeight w:val="624" w:hRule="atLeast"/>
          <w:jc w:val="center"/>
        </w:trPr>
        <w:tc>
          <w:tcPr>
            <w:tcW w:w="8960" w:type="dxa"/>
            <w:shd w:val="clear" w:color="auto" w:fill="FFFFFF"/>
            <w:noWrap w:val="0"/>
            <w:tcMar>
              <w:top w:w="100" w:type="dxa"/>
              <w:left w:w="120" w:type="dxa"/>
              <w:bottom w:w="100" w:type="dxa"/>
              <w:right w:w="120" w:type="dxa"/>
            </w:tcMar>
            <w:vAlign w:val="center"/>
          </w:tcPr>
          <w:p w14:paraId="6202E7C2">
            <w:pPr>
              <w:keepNext/>
              <w:snapToGrid w:val="0"/>
              <w:spacing w:line="576" w:lineRule="exact"/>
              <w:ind w:firstLine="560" w:firstLineChars="200"/>
              <w:jc w:val="center"/>
              <w:rPr>
                <w:rFonts w:ascii="仿宋_GB2312" w:hAnsi="仿宋_GB2312" w:eastAsia="仿宋_GB2312" w:cs="仿宋_GB2312"/>
                <w:color w:val="auto"/>
                <w:sz w:val="32"/>
                <w:szCs w:val="32"/>
                <w:lang w:eastAsia="zh-CN"/>
              </w:rPr>
            </w:pPr>
            <w:r>
              <w:rPr>
                <w:rFonts w:hint="eastAsia" w:ascii="黑体" w:hAnsi="黑体" w:eastAsia="黑体" w:cs="黑体"/>
                <w:bCs/>
                <w:color w:val="auto"/>
                <w:sz w:val="28"/>
                <w:szCs w:val="28"/>
                <w:lang w:eastAsia="zh-CN"/>
              </w:rPr>
              <w:t>专栏</w:t>
            </w:r>
            <w:r>
              <w:rPr>
                <w:rFonts w:hint="eastAsia" w:ascii="黑体" w:hAnsi="黑体" w:eastAsia="黑体" w:cs="黑体"/>
                <w:bCs/>
                <w:color w:val="auto"/>
                <w:sz w:val="28"/>
                <w:szCs w:val="28"/>
                <w:lang w:val="en-US" w:eastAsia="zh-CN"/>
              </w:rPr>
              <w:t>7</w:t>
            </w:r>
            <w:r>
              <w:rPr>
                <w:rFonts w:hint="eastAsia" w:ascii="黑体" w:hAnsi="黑体" w:eastAsia="黑体" w:cs="黑体"/>
                <w:bCs/>
                <w:color w:val="auto"/>
                <w:sz w:val="28"/>
                <w:szCs w:val="28"/>
                <w:lang w:eastAsia="zh-CN"/>
              </w:rPr>
              <w:t xml:space="preserve">  养老服务人才强基工程</w:t>
            </w:r>
          </w:p>
        </w:tc>
      </w:tr>
      <w:tr w14:paraId="4C67F340">
        <w:tblPrEx>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CellMar>
            <w:top w:w="0" w:type="dxa"/>
            <w:left w:w="108" w:type="dxa"/>
            <w:bottom w:w="0" w:type="dxa"/>
            <w:right w:w="108" w:type="dxa"/>
          </w:tblCellMar>
        </w:tblPrEx>
        <w:trPr>
          <w:cantSplit/>
          <w:jc w:val="center"/>
        </w:trPr>
        <w:tc>
          <w:tcPr>
            <w:tcW w:w="8960" w:type="dxa"/>
            <w:noWrap w:val="0"/>
            <w:tcMar>
              <w:top w:w="130" w:type="dxa"/>
              <w:left w:w="180" w:type="dxa"/>
              <w:bottom w:w="130" w:type="dxa"/>
              <w:right w:w="180" w:type="dxa"/>
            </w:tcMar>
            <w:vAlign w:val="top"/>
          </w:tcPr>
          <w:p w14:paraId="7292B89D">
            <w:pPr>
              <w:keepLines/>
              <w:ind w:firstLine="562" w:firstLineChars="200"/>
              <w:rPr>
                <w:rFonts w:ascii="仿宋_GB2312" w:hAnsi="仿宋_GB2312" w:eastAsia="仿宋_GB2312" w:cs="仿宋_GB2312"/>
                <w:color w:val="auto"/>
                <w:sz w:val="28"/>
                <w:szCs w:val="28"/>
                <w:lang w:eastAsia="zh-CN"/>
              </w:rPr>
            </w:pPr>
            <w:r>
              <w:rPr>
                <w:rFonts w:hint="eastAsia" w:ascii="仿宋_GB2312" w:hAnsi="仿宋_GB2312" w:eastAsia="仿宋_GB2312" w:cs="仿宋_GB2312"/>
                <w:b/>
                <w:color w:val="auto"/>
                <w:sz w:val="28"/>
                <w:szCs w:val="28"/>
                <w:lang w:eastAsia="zh-CN"/>
              </w:rPr>
              <w:t>1.创建一批优质的养老机构实训基地。</w:t>
            </w:r>
            <w:r>
              <w:rPr>
                <w:rFonts w:hint="eastAsia" w:ascii="仿宋_GB2312" w:hAnsi="仿宋_GB2312" w:eastAsia="仿宋_GB2312" w:cs="仿宋_GB2312"/>
                <w:color w:val="auto"/>
                <w:sz w:val="28"/>
                <w:szCs w:val="28"/>
                <w:lang w:eastAsia="zh-CN"/>
              </w:rPr>
              <w:t>支持鼓励符合条件的养老机构与职业院校、普通高校创新人才培养模式，共建实习实训基地。遴选一批省级养老服务人才实习实训基地，发挥培养培训人才的示范引领作用。</w:t>
            </w:r>
          </w:p>
          <w:p w14:paraId="7AF59162">
            <w:pPr>
              <w:keepLines/>
              <w:ind w:firstLine="562" w:firstLineChars="200"/>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b/>
                <w:color w:val="auto"/>
                <w:sz w:val="28"/>
                <w:szCs w:val="28"/>
                <w:lang w:eastAsia="zh-CN"/>
              </w:rPr>
              <w:t>2.从业人员分层分类培训。</w:t>
            </w:r>
            <w:r>
              <w:rPr>
                <w:rFonts w:hint="eastAsia" w:ascii="仿宋_GB2312" w:hAnsi="仿宋_GB2312" w:eastAsia="仿宋_GB2312" w:cs="仿宋_GB2312"/>
                <w:color w:val="auto"/>
                <w:sz w:val="28"/>
                <w:szCs w:val="28"/>
                <w:lang w:eastAsia="zh-CN"/>
              </w:rPr>
              <w:t>分类开展养老机构负责人、养老护理员等养老服务人员的培训，十五五期间，要实现养老服务人员的入职培训率达到</w:t>
            </w:r>
            <w:r>
              <w:rPr>
                <w:rFonts w:hint="eastAsia" w:ascii="Times New Roman" w:hAnsi="Times New Roman" w:eastAsia="仿宋_GB2312" w:cs="仿宋_GB2312"/>
                <w:color w:val="auto"/>
                <w:sz w:val="28"/>
                <w:szCs w:val="28"/>
                <w:lang w:eastAsia="zh-CN"/>
              </w:rPr>
              <w:t>10</w:t>
            </w:r>
            <w:r>
              <w:rPr>
                <w:rFonts w:hint="eastAsia" w:ascii="仿宋_GB2312" w:hAnsi="仿宋_GB2312" w:eastAsia="仿宋_GB2312" w:cs="仿宋_GB2312"/>
                <w:color w:val="auto"/>
                <w:sz w:val="28"/>
                <w:szCs w:val="28"/>
                <w:lang w:eastAsia="zh-CN"/>
              </w:rPr>
              <w:t>0%，养老院院长培训覆盖率达</w:t>
            </w:r>
            <w:r>
              <w:rPr>
                <w:rFonts w:hint="eastAsia" w:ascii="Times New Roman" w:hAnsi="Times New Roman" w:eastAsia="仿宋_GB2312" w:cs="仿宋_GB2312"/>
                <w:color w:val="auto"/>
                <w:sz w:val="28"/>
                <w:szCs w:val="28"/>
                <w:lang w:eastAsia="zh-CN"/>
              </w:rPr>
              <w:t>10</w:t>
            </w:r>
            <w:r>
              <w:rPr>
                <w:rFonts w:hint="eastAsia" w:ascii="仿宋_GB2312" w:hAnsi="仿宋_GB2312" w:eastAsia="仿宋_GB2312" w:cs="仿宋_GB2312"/>
                <w:color w:val="auto"/>
                <w:sz w:val="28"/>
                <w:szCs w:val="28"/>
                <w:lang w:eastAsia="zh-CN"/>
              </w:rPr>
              <w:t>0%，养老机构中取得职业技能等级证书的养老护理员占比达到</w:t>
            </w:r>
            <w:r>
              <w:rPr>
                <w:rFonts w:hint="eastAsia" w:ascii="Times New Roman" w:hAnsi="Times New Roman" w:eastAsia="仿宋_GB2312" w:cs="仿宋_GB2312"/>
                <w:color w:val="auto"/>
                <w:sz w:val="28"/>
                <w:szCs w:val="28"/>
                <w:lang w:eastAsia="zh-CN"/>
              </w:rPr>
              <w:t>90</w:t>
            </w:r>
            <w:r>
              <w:rPr>
                <w:rFonts w:hint="eastAsia" w:ascii="仿宋_GB2312" w:hAnsi="仿宋_GB2312" w:eastAsia="仿宋_GB2312" w:cs="仿宋_GB2312"/>
                <w:color w:val="auto"/>
                <w:sz w:val="28"/>
                <w:szCs w:val="28"/>
                <w:lang w:eastAsia="zh-CN"/>
              </w:rPr>
              <w:t>%以上。</w:t>
            </w:r>
          </w:p>
          <w:p w14:paraId="274319B2">
            <w:pPr>
              <w:ind w:firstLineChars="200"/>
              <w:rPr>
                <w:rFonts w:hint="eastAsia" w:ascii="仿宋_GB2312" w:hAnsi="仿宋_GB2312" w:eastAsia="仿宋_GB2312" w:cs="仿宋_GB2312"/>
                <w:b/>
                <w:bCs w:val="0"/>
                <w:color w:val="auto"/>
                <w:sz w:val="28"/>
                <w:szCs w:val="28"/>
                <w:lang w:val="en-US" w:eastAsia="zh-CN"/>
              </w:rPr>
            </w:pPr>
            <w:r>
              <w:rPr>
                <w:rFonts w:hint="eastAsia" w:ascii="仿宋_GB2312" w:hAnsi="仿宋_GB2312" w:eastAsia="仿宋_GB2312" w:cs="仿宋_GB2312"/>
                <w:b/>
                <w:bCs/>
                <w:color w:val="auto"/>
                <w:sz w:val="28"/>
                <w:szCs w:val="28"/>
                <w:lang w:val="en-US" w:eastAsia="zh-CN"/>
              </w:rPr>
              <w:t>3.培育养老服务师新岗位。</w:t>
            </w:r>
            <w:r>
              <w:rPr>
                <w:rFonts w:hint="eastAsia" w:ascii="仿宋_GB2312" w:hAnsi="仿宋_GB2312" w:eastAsia="仿宋_GB2312" w:cs="仿宋_GB2312"/>
                <w:b w:val="0"/>
                <w:bCs w:val="0"/>
                <w:color w:val="auto"/>
                <w:sz w:val="28"/>
                <w:szCs w:val="28"/>
                <w:lang w:val="en-US" w:eastAsia="zh-CN"/>
              </w:rPr>
              <w:t>进一步健全职业标准体系，持续优化养老服务师职业资格与技能等级评价机制，完善制度链条，畅通从技能操作、专业服务到管理指导的职业晋升通道，同时鼓励用人单位将职业技能等级作为薪酬分配的重要参考，推动建立与技能等级相匹配的岗位绩效工资制。</w:t>
            </w:r>
          </w:p>
          <w:p w14:paraId="5F4AA5AB">
            <w:pPr>
              <w:keepLines/>
              <w:ind w:firstLine="562" w:firstLineChars="200"/>
              <w:rPr>
                <w:rFonts w:ascii="仿宋_GB2312" w:hAnsi="仿宋_GB2312" w:eastAsia="仿宋_GB2312" w:cs="仿宋_GB2312"/>
                <w:color w:val="auto"/>
                <w:sz w:val="32"/>
                <w:szCs w:val="32"/>
                <w:lang w:eastAsia="zh-CN"/>
              </w:rPr>
            </w:pPr>
            <w:r>
              <w:rPr>
                <w:rFonts w:hint="eastAsia" w:ascii="仿宋_GB2312" w:hAnsi="仿宋_GB2312" w:eastAsia="仿宋_GB2312" w:cs="仿宋_GB2312"/>
                <w:b/>
                <w:color w:val="auto"/>
                <w:sz w:val="28"/>
                <w:szCs w:val="28"/>
                <w:lang w:val="en-US" w:eastAsia="zh-CN"/>
              </w:rPr>
              <w:t>4</w:t>
            </w:r>
            <w:r>
              <w:rPr>
                <w:rFonts w:hint="eastAsia" w:ascii="仿宋_GB2312" w:hAnsi="仿宋_GB2312" w:eastAsia="仿宋_GB2312" w:cs="仿宋_GB2312"/>
                <w:b/>
                <w:color w:val="auto"/>
                <w:sz w:val="28"/>
                <w:szCs w:val="28"/>
                <w:lang w:eastAsia="zh-CN"/>
              </w:rPr>
              <w:t>.基层地区人才建设支持。</w:t>
            </w:r>
            <w:r>
              <w:rPr>
                <w:rFonts w:hint="eastAsia" w:ascii="仿宋_GB2312" w:hAnsi="仿宋_GB2312" w:eastAsia="仿宋_GB2312" w:cs="仿宋_GB2312"/>
                <w:color w:val="auto"/>
                <w:sz w:val="28"/>
                <w:szCs w:val="28"/>
                <w:lang w:eastAsia="zh-CN"/>
              </w:rPr>
              <w:t>探索送教下基层、结对帮扶、岗位练兵等方式，加强农村基层、边疆民族地区以及失能失智照护岗位人才培养，提升基层养老服务人员的实操能力。</w:t>
            </w:r>
          </w:p>
        </w:tc>
      </w:tr>
    </w:tbl>
    <w:p w14:paraId="4F3AADA7">
      <w:pPr>
        <w:pStyle w:val="3"/>
        <w:numPr>
          <w:ilvl w:val="0"/>
          <w:numId w:val="0"/>
        </w:numPr>
        <w:ind w:firstLine="640" w:firstLineChars="200"/>
        <w:rPr>
          <w:rFonts w:hint="eastAsia" w:ascii="楷体_GB2312" w:hAnsi="楷体_GB2312" w:eastAsia="楷体_GB2312" w:cs="楷体_GB2312"/>
          <w:b w:val="0"/>
          <w:bCs w:val="0"/>
          <w:color w:val="auto"/>
          <w:sz w:val="32"/>
          <w:szCs w:val="32"/>
          <w:lang w:eastAsia="zh-CN"/>
        </w:rPr>
      </w:pPr>
      <w:r>
        <w:rPr>
          <w:rFonts w:hint="eastAsia" w:ascii="楷体_GB2312" w:hAnsi="楷体_GB2312" w:eastAsia="楷体_GB2312" w:cs="楷体_GB2312"/>
          <w:b w:val="0"/>
          <w:bCs w:val="0"/>
          <w:color w:val="auto"/>
          <w:sz w:val="32"/>
          <w:szCs w:val="32"/>
          <w:lang w:eastAsia="zh-CN"/>
        </w:rPr>
        <w:t>（八）加强综合监管。</w:t>
      </w:r>
    </w:p>
    <w:p w14:paraId="0DDD6DC9">
      <w:pPr>
        <w:pStyle w:val="4"/>
        <w:keepNext w:val="0"/>
        <w:keepLines w:val="0"/>
        <w:pageBreakBefore w:val="0"/>
        <w:kinsoku/>
        <w:wordWrap/>
        <w:overflowPunct/>
        <w:topLinePunct w:val="0"/>
        <w:autoSpaceDE/>
        <w:autoSpaceDN/>
        <w:bidi w:val="0"/>
        <w:snapToGrid/>
        <w:spacing w:line="600" w:lineRule="exact"/>
        <w:textAlignment w:val="auto"/>
        <w:outlineLvl w:val="9"/>
        <w:rPr>
          <w:rFonts w:hint="eastAsia" w:ascii="方正仿宋_GBK" w:hAnsi="方正仿宋_GBK" w:eastAsia="方正仿宋_GBK" w:cs="方正仿宋_GBK"/>
          <w:b w:val="0"/>
          <w:bCs w:val="0"/>
          <w:color w:val="auto"/>
          <w:kern w:val="2"/>
          <w:sz w:val="32"/>
          <w:szCs w:val="32"/>
          <w:highlight w:val="none"/>
          <w:lang w:val="en-US" w:eastAsia="zh-CN" w:bidi="ar-SA"/>
        </w:rPr>
      </w:pPr>
      <w:r>
        <w:rPr>
          <w:rFonts w:hint="eastAsia" w:cs="Times New Roman"/>
          <w:b w:val="0"/>
          <w:bCs w:val="0"/>
          <w:color w:val="auto"/>
          <w:sz w:val="30"/>
          <w:szCs w:val="22"/>
          <w:lang w:val="en-US" w:eastAsia="zh-CN"/>
        </w:rPr>
        <w:t xml:space="preserve"> </w:t>
      </w:r>
      <w:r>
        <w:rPr>
          <w:rFonts w:hint="default" w:ascii="宋体" w:hAnsi="宋体" w:eastAsia="方正仿宋_GBK" w:cs="Times New Roman"/>
          <w:color w:val="auto"/>
          <w:sz w:val="32"/>
          <w:szCs w:val="32"/>
          <w:lang w:val="en-US" w:eastAsia="zh-CN"/>
        </w:rPr>
        <w:t>加快制定全省统一的养老服务质量标准和评价体系</w:t>
      </w:r>
      <w:r>
        <w:rPr>
          <w:rFonts w:hint="eastAsia" w:ascii="宋体" w:hAnsi="宋体" w:eastAsia="方正仿宋_GBK" w:cs="Times New Roman"/>
          <w:color w:val="auto"/>
          <w:sz w:val="32"/>
          <w:szCs w:val="32"/>
          <w:lang w:val="en-US" w:eastAsia="zh-CN"/>
        </w:rPr>
        <w:t>，</w:t>
      </w:r>
      <w:r>
        <w:rPr>
          <w:rFonts w:hint="default" w:ascii="宋体" w:hAnsi="宋体" w:eastAsia="方正仿宋_GBK" w:cs="Times New Roman"/>
          <w:color w:val="auto"/>
          <w:sz w:val="32"/>
          <w:szCs w:val="32"/>
          <w:lang w:val="en-US" w:eastAsia="zh-CN"/>
        </w:rPr>
        <w:t>推动养老机构和行业组织实施标准化管理。</w:t>
      </w:r>
      <w:r>
        <w:rPr>
          <w:rFonts w:hint="default" w:ascii="宋体" w:hAnsi="宋体" w:eastAsia="方正仿宋_GBK" w:cs="Times New Roman"/>
          <w:b w:val="0"/>
          <w:bCs w:val="0"/>
          <w:color w:val="auto"/>
          <w:kern w:val="2"/>
          <w:sz w:val="32"/>
          <w:szCs w:val="32"/>
          <w:lang w:val="en-US" w:eastAsia="zh-CN" w:bidi="ar-SA"/>
        </w:rPr>
        <w:t>完善养老机构登记备案管理，</w:t>
      </w:r>
      <w:r>
        <w:rPr>
          <w:rFonts w:hint="eastAsia" w:ascii="宋体" w:hAnsi="宋体" w:eastAsia="方正仿宋_GBK" w:cs="Times New Roman"/>
          <w:b w:val="0"/>
          <w:bCs w:val="0"/>
          <w:color w:val="auto"/>
          <w:kern w:val="2"/>
          <w:sz w:val="32"/>
          <w:szCs w:val="32"/>
          <w:lang w:val="en-US" w:eastAsia="zh-CN" w:bidi="ar-SA"/>
        </w:rPr>
        <w:t>落实</w:t>
      </w:r>
      <w:r>
        <w:rPr>
          <w:rFonts w:hint="default" w:ascii="宋体" w:hAnsi="宋体" w:eastAsia="方正仿宋_GBK" w:cs="Times New Roman"/>
          <w:b w:val="0"/>
          <w:bCs w:val="0"/>
          <w:color w:val="auto"/>
          <w:kern w:val="2"/>
          <w:sz w:val="32"/>
          <w:szCs w:val="32"/>
          <w:lang w:val="en-US" w:eastAsia="zh-CN" w:bidi="ar-SA"/>
        </w:rPr>
        <w:t>预收费监管</w:t>
      </w:r>
      <w:r>
        <w:rPr>
          <w:rFonts w:hint="eastAsia" w:ascii="宋体" w:hAnsi="宋体" w:eastAsia="方正仿宋_GBK" w:cs="Times New Roman"/>
          <w:b w:val="0"/>
          <w:bCs w:val="0"/>
          <w:color w:val="auto"/>
          <w:kern w:val="2"/>
          <w:sz w:val="32"/>
          <w:szCs w:val="32"/>
          <w:lang w:val="en-US" w:eastAsia="zh-CN" w:bidi="ar-SA"/>
        </w:rPr>
        <w:t>政策</w:t>
      </w:r>
      <w:r>
        <w:rPr>
          <w:rFonts w:hint="default" w:ascii="宋体" w:hAnsi="宋体" w:eastAsia="方正仿宋_GBK" w:cs="Times New Roman"/>
          <w:b w:val="0"/>
          <w:bCs w:val="0"/>
          <w:color w:val="auto"/>
          <w:kern w:val="2"/>
          <w:sz w:val="32"/>
          <w:szCs w:val="32"/>
          <w:lang w:val="en-US" w:eastAsia="zh-CN" w:bidi="ar-SA"/>
        </w:rPr>
        <w:t>。健全养老服务应急管理体系，全面落实安全生产责任制，压实养老服务机构、有关管理部门及地方党委和政府责任。加强老年用品质量监管。</w:t>
      </w:r>
      <w:r>
        <w:rPr>
          <w:rFonts w:hint="eastAsia" w:ascii="方正仿宋_GBK" w:hAnsi="方正仿宋_GBK" w:eastAsia="方正仿宋_GBK" w:cs="方正仿宋_GBK"/>
          <w:b w:val="0"/>
          <w:bCs w:val="0"/>
          <w:color w:val="auto"/>
          <w:kern w:val="2"/>
          <w:sz w:val="32"/>
          <w:szCs w:val="32"/>
          <w:highlight w:val="none"/>
          <w:lang w:val="en-US" w:eastAsia="zh-CN" w:bidi="ar-SA"/>
        </w:rPr>
        <w:t>建立养老服务信用管理体系，完善从业人员禁入制度。</w:t>
      </w:r>
    </w:p>
    <w:tbl>
      <w:tblPr>
        <w:tblStyle w:val="5"/>
        <w:tblW w:w="8960" w:type="dxa"/>
        <w:jc w:val="center"/>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Layout w:type="autofit"/>
        <w:tblCellMar>
          <w:top w:w="0" w:type="dxa"/>
          <w:left w:w="108" w:type="dxa"/>
          <w:bottom w:w="0" w:type="dxa"/>
          <w:right w:w="108" w:type="dxa"/>
        </w:tblCellMar>
      </w:tblPr>
      <w:tblGrid>
        <w:gridCol w:w="8960"/>
      </w:tblGrid>
      <w:tr w14:paraId="668B5C66">
        <w:tblPrEx>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CellMar>
            <w:top w:w="0" w:type="dxa"/>
            <w:left w:w="108" w:type="dxa"/>
            <w:bottom w:w="0" w:type="dxa"/>
            <w:right w:w="108" w:type="dxa"/>
          </w:tblCellMar>
        </w:tblPrEx>
        <w:trPr>
          <w:trHeight w:val="624" w:hRule="atLeast"/>
          <w:jc w:val="center"/>
        </w:trPr>
        <w:tc>
          <w:tcPr>
            <w:tcW w:w="8960" w:type="dxa"/>
            <w:shd w:val="clear" w:color="auto" w:fill="FFFFFF"/>
            <w:noWrap w:val="0"/>
            <w:tcMar>
              <w:top w:w="100" w:type="dxa"/>
              <w:left w:w="120" w:type="dxa"/>
              <w:bottom w:w="100" w:type="dxa"/>
              <w:right w:w="120" w:type="dxa"/>
            </w:tcMar>
            <w:vAlign w:val="center"/>
          </w:tcPr>
          <w:p w14:paraId="767D0A07">
            <w:pPr>
              <w:keepNext w:val="0"/>
              <w:numPr>
                <w:ilvl w:val="0"/>
                <w:numId w:val="0"/>
              </w:numPr>
              <w:snapToGrid/>
              <w:spacing w:line="240" w:lineRule="auto"/>
              <w:ind w:firstLine="0" w:firstLineChars="0"/>
              <w:jc w:val="center"/>
              <w:rPr>
                <w:rFonts w:ascii="仿宋_GB2312" w:hAnsi="仿宋_GB2312" w:eastAsia="仿宋_GB2312" w:cs="仿宋_GB2312"/>
                <w:color w:val="auto"/>
                <w:sz w:val="32"/>
                <w:szCs w:val="32"/>
                <w:lang w:eastAsia="zh-CN"/>
              </w:rPr>
            </w:pPr>
            <w:r>
              <w:rPr>
                <w:rFonts w:hint="eastAsia" w:ascii="黑体" w:hAnsi="黑体" w:eastAsia="黑体" w:cs="黑体"/>
                <w:bCs/>
                <w:color w:val="auto"/>
                <w:sz w:val="28"/>
                <w:szCs w:val="28"/>
                <w:lang w:eastAsia="zh-CN"/>
              </w:rPr>
              <w:t>专栏</w:t>
            </w:r>
            <w:r>
              <w:rPr>
                <w:rFonts w:hint="eastAsia" w:ascii="黑体" w:hAnsi="黑体" w:eastAsia="黑体" w:cs="黑体"/>
                <w:bCs/>
                <w:color w:val="auto"/>
                <w:sz w:val="28"/>
                <w:szCs w:val="28"/>
                <w:lang w:val="en-US" w:eastAsia="zh-CN"/>
              </w:rPr>
              <w:t>8</w:t>
            </w:r>
            <w:r>
              <w:rPr>
                <w:rFonts w:hint="eastAsia" w:ascii="黑体" w:hAnsi="黑体" w:eastAsia="黑体" w:cs="黑体"/>
                <w:bCs/>
                <w:color w:val="auto"/>
                <w:sz w:val="28"/>
                <w:szCs w:val="28"/>
                <w:lang w:eastAsia="zh-CN"/>
              </w:rPr>
              <w:t xml:space="preserve">  养老服务机构服务监管强基固本行动</w:t>
            </w:r>
          </w:p>
        </w:tc>
      </w:tr>
      <w:tr w14:paraId="5981547E">
        <w:tblPrEx>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CellMar>
            <w:top w:w="0" w:type="dxa"/>
            <w:left w:w="108" w:type="dxa"/>
            <w:bottom w:w="0" w:type="dxa"/>
            <w:right w:w="108" w:type="dxa"/>
          </w:tblCellMar>
        </w:tblPrEx>
        <w:trPr>
          <w:jc w:val="center"/>
        </w:trPr>
        <w:tc>
          <w:tcPr>
            <w:tcW w:w="8960" w:type="dxa"/>
            <w:noWrap w:val="0"/>
            <w:tcMar>
              <w:top w:w="130" w:type="dxa"/>
              <w:left w:w="180" w:type="dxa"/>
              <w:bottom w:w="130" w:type="dxa"/>
              <w:right w:w="180" w:type="dxa"/>
            </w:tcMar>
            <w:vAlign w:val="top"/>
          </w:tcPr>
          <w:p w14:paraId="4D5044BB">
            <w:pPr>
              <w:spacing w:line="576" w:lineRule="exact"/>
              <w:ind w:firstLine="562" w:firstLineChars="200"/>
              <w:rPr>
                <w:rFonts w:hint="eastAsia" w:ascii="仿宋_GB2312" w:hAnsi="仿宋_GB2312" w:eastAsia="仿宋_GB2312" w:cs="仿宋_GB2312"/>
                <w:b w:val="0"/>
                <w:bCs w:val="0"/>
                <w:color w:val="auto"/>
                <w:sz w:val="28"/>
                <w:szCs w:val="28"/>
                <w:lang w:val="en-US" w:eastAsia="zh-CN"/>
              </w:rPr>
            </w:pPr>
            <w:r>
              <w:rPr>
                <w:rFonts w:hint="eastAsia" w:ascii="仿宋_GB2312" w:hAnsi="仿宋_GB2312" w:eastAsia="仿宋_GB2312" w:cs="仿宋_GB2312"/>
                <w:b/>
                <w:bCs/>
                <w:color w:val="auto"/>
                <w:sz w:val="28"/>
                <w:szCs w:val="28"/>
                <w:lang w:val="en-US" w:eastAsia="zh-CN"/>
              </w:rPr>
              <w:t>1.加强养老机构备案管理。</w:t>
            </w:r>
            <w:r>
              <w:rPr>
                <w:rFonts w:hint="eastAsia" w:ascii="仿宋_GB2312" w:hAnsi="仿宋_GB2312" w:eastAsia="仿宋_GB2312" w:cs="仿宋_GB2312"/>
                <w:b w:val="0"/>
                <w:bCs w:val="0"/>
                <w:color w:val="auto"/>
                <w:kern w:val="0"/>
                <w:sz w:val="28"/>
                <w:szCs w:val="28"/>
                <w:lang w:val="en-US" w:eastAsia="zh-CN"/>
              </w:rPr>
              <w:t>优化办理环节、精简办理材料、压缩办理时限，高效推进开办养老机构“一件事”办理。</w:t>
            </w:r>
            <w:r>
              <w:rPr>
                <w:rFonts w:hint="eastAsia" w:ascii="仿宋_GB2312" w:hAnsi="仿宋_GB2312" w:eastAsia="仿宋_GB2312" w:cs="仿宋_GB2312"/>
                <w:b w:val="0"/>
                <w:bCs w:val="0"/>
                <w:color w:val="auto"/>
                <w:kern w:val="0"/>
                <w:sz w:val="28"/>
                <w:szCs w:val="28"/>
                <w:lang w:val="en-US" w:eastAsia="zh-CN" w:bidi="ar-SA"/>
              </w:rPr>
              <w:t>优化养老机构登记备案管理、退出制度，强化行业准入，畅通退出通道。</w:t>
            </w:r>
          </w:p>
          <w:p w14:paraId="122FE078">
            <w:pPr>
              <w:spacing w:line="576" w:lineRule="exact"/>
              <w:ind w:firstLine="562" w:firstLineChars="200"/>
              <w:rPr>
                <w:rFonts w:hint="default"/>
                <w:color w:val="auto"/>
                <w:lang w:val="en-US" w:eastAsia="zh-CN"/>
              </w:rPr>
            </w:pPr>
            <w:r>
              <w:rPr>
                <w:rFonts w:hint="eastAsia" w:ascii="仿宋_GB2312" w:hAnsi="仿宋_GB2312" w:eastAsia="仿宋_GB2312" w:cs="仿宋_GB2312"/>
                <w:b/>
                <w:bCs/>
                <w:color w:val="auto"/>
                <w:sz w:val="28"/>
                <w:szCs w:val="28"/>
                <w:lang w:val="en-US" w:eastAsia="zh-CN"/>
              </w:rPr>
              <w:t>2.建设县级养老机构消防安全管理中心。</w:t>
            </w:r>
            <w:r>
              <w:rPr>
                <w:rFonts w:hint="eastAsia" w:ascii="仿宋_GB2312" w:hAnsi="仿宋_GB2312" w:eastAsia="仿宋_GB2312" w:cs="仿宋_GB2312"/>
                <w:b w:val="0"/>
                <w:bCs w:val="0"/>
                <w:color w:val="auto"/>
                <w:sz w:val="28"/>
                <w:szCs w:val="28"/>
                <w:lang w:val="en-US" w:eastAsia="zh-CN"/>
              </w:rPr>
              <w:t>依托县级综合养老服务管理平台，整合县域养老服务资源与消防监管力量，推进县级养老机构消防管理平台与同级消防监管平台的数据互通与业务协同，实现对县域内养老机构安全状况的集中监测、智慧预警和精准监管。</w:t>
            </w:r>
          </w:p>
        </w:tc>
      </w:tr>
    </w:tbl>
    <w:p w14:paraId="307E25DE">
      <w:pPr>
        <w:pStyle w:val="2"/>
        <w:spacing w:line="576" w:lineRule="exact"/>
        <w:ind w:firstLine="640" w:firstLineChars="200"/>
        <w:rPr>
          <w:rFonts w:ascii="黑体" w:hAnsi="黑体" w:eastAsia="黑体" w:cs="黑体"/>
          <w:b w:val="0"/>
          <w:bCs w:val="0"/>
          <w:color w:val="auto"/>
          <w:sz w:val="32"/>
          <w:szCs w:val="32"/>
          <w:lang w:eastAsia="zh-CN"/>
        </w:rPr>
      </w:pPr>
      <w:r>
        <w:rPr>
          <w:rFonts w:hint="eastAsia" w:ascii="黑体" w:hAnsi="黑体" w:eastAsia="黑体" w:cs="黑体"/>
          <w:b w:val="0"/>
          <w:bCs w:val="0"/>
          <w:color w:val="auto"/>
          <w:sz w:val="32"/>
          <w:szCs w:val="32"/>
          <w:lang w:eastAsia="zh-CN"/>
        </w:rPr>
        <w:t>三、实施保障</w:t>
      </w:r>
    </w:p>
    <w:p w14:paraId="01B44932">
      <w:pPr>
        <w:keepNext w:val="0"/>
        <w:keepLines w:val="0"/>
        <w:pageBreakBefore w:val="0"/>
        <w:widowControl/>
        <w:numPr>
          <w:ilvl w:val="0"/>
          <w:numId w:val="0"/>
        </w:numPr>
        <w:kinsoku/>
        <w:wordWrap/>
        <w:overflowPunct/>
        <w:topLinePunct w:val="0"/>
        <w:autoSpaceDE/>
        <w:autoSpaceDN/>
        <w:bidi w:val="0"/>
        <w:adjustRightInd/>
        <w:snapToGrid/>
        <w:spacing w:line="576" w:lineRule="exact"/>
        <w:ind w:left="0" w:firstLine="640" w:firstLineChars="200"/>
        <w:jc w:val="both"/>
        <w:textAlignment w:val="auto"/>
        <w:outlineLvl w:val="9"/>
        <w:rPr>
          <w:rFonts w:hint="eastAsia" w:ascii="仿宋_GB2312" w:hAnsi="仿宋_GB2312" w:eastAsia="仿宋_GB2312" w:cs="仿宋_GB2312"/>
          <w:b w:val="0"/>
          <w:bCs w:val="0"/>
          <w:color w:val="auto"/>
          <w:kern w:val="0"/>
          <w:sz w:val="32"/>
          <w:szCs w:val="32"/>
          <w:lang w:val="en-US" w:eastAsia="zh-CN" w:bidi="ar-SA"/>
        </w:rPr>
      </w:pPr>
      <w:r>
        <w:rPr>
          <w:rFonts w:hint="eastAsia" w:ascii="仿宋_GB2312" w:hAnsi="仿宋_GB2312" w:eastAsia="仿宋_GB2312" w:cs="仿宋_GB2312"/>
          <w:b w:val="0"/>
          <w:bCs w:val="0"/>
          <w:color w:val="auto"/>
          <w:kern w:val="0"/>
          <w:sz w:val="32"/>
          <w:szCs w:val="32"/>
          <w:lang w:val="en-US" w:eastAsia="zh-CN" w:bidi="ar-SA"/>
        </w:rPr>
        <w:t>州（市）和县（市、区）党委和政府要加强组织领导，将养老服务体系建设纳入经济社会发展规划和重要议事日程。要</w:t>
      </w:r>
      <w:r>
        <w:rPr>
          <w:rFonts w:hint="eastAsia" w:ascii="仿宋_GB2312" w:hAnsi="仿宋_GB2312" w:eastAsia="仿宋_GB2312" w:cs="仿宋_GB2312"/>
          <w:i w:val="0"/>
          <w:iCs w:val="0"/>
          <w:caps w:val="0"/>
          <w:color w:val="auto"/>
          <w:spacing w:val="0"/>
          <w:sz w:val="32"/>
          <w:szCs w:val="32"/>
          <w:shd w:val="clear" w:color="auto" w:fill="auto"/>
          <w:lang w:val="en-US" w:eastAsia="zh-CN"/>
        </w:rPr>
        <w:t>充分发挥老龄委议事协调机制作用，各级各有关部门要密切协同配合，加强政策制定、信息互通、资源共享，层层压实责任，推动工作落实。</w:t>
      </w:r>
      <w:r>
        <w:rPr>
          <w:rFonts w:hint="eastAsia" w:ascii="仿宋_GB2312" w:hAnsi="仿宋_GB2312" w:eastAsia="仿宋_GB2312" w:cs="仿宋_GB2312"/>
          <w:b w:val="0"/>
          <w:bCs w:val="0"/>
          <w:color w:val="auto"/>
          <w:kern w:val="0"/>
          <w:sz w:val="32"/>
          <w:szCs w:val="32"/>
          <w:lang w:val="en-US" w:eastAsia="zh-CN" w:bidi="ar-SA"/>
        </w:rPr>
        <w:t>乡镇（街道）党（工）委、村（社区）党组织要将养老服务作为联系群众的重要内容，引导各类组织共同做好养老服务工作。村（社区）“两委”要了解辖区内老年人情况和服务需求，协助做好老年人服务保障工作。</w:t>
      </w:r>
    </w:p>
    <w:p w14:paraId="1F0AFA87">
      <w:pPr>
        <w:numPr>
          <w:ilvl w:val="0"/>
          <w:numId w:val="0"/>
        </w:numPr>
        <w:spacing w:line="576" w:lineRule="exact"/>
        <w:ind w:firstLine="640" w:firstLineChars="200"/>
        <w:jc w:val="left"/>
        <w:outlineLvl w:val="9"/>
      </w:pPr>
      <w:r>
        <w:rPr>
          <w:rFonts w:hint="eastAsia" w:ascii="仿宋_GB2312" w:hAnsi="仿宋_GB2312" w:eastAsia="仿宋_GB2312" w:cs="仿宋_GB2312"/>
          <w:color w:val="auto"/>
          <w:sz w:val="32"/>
          <w:szCs w:val="32"/>
          <w:lang w:eastAsia="zh-CN"/>
        </w:rPr>
        <w:t>民政、自然资源、住房城乡建设等有关部门要协同推动养老服务设施布局与国土空间等专项规划衔接，加强要素保障，</w:t>
      </w:r>
      <w:r>
        <w:rPr>
          <w:rFonts w:hint="eastAsia" w:ascii="仿宋_GB2312" w:hAnsi="仿宋_GB2312" w:eastAsia="仿宋_GB2312" w:cs="仿宋_GB2312"/>
          <w:b w:val="0"/>
          <w:bCs w:val="0"/>
          <w:color w:val="auto"/>
          <w:kern w:val="0"/>
          <w:sz w:val="32"/>
          <w:szCs w:val="32"/>
          <w:lang w:val="en-US" w:eastAsia="zh-CN" w:bidi="ar-SA"/>
        </w:rPr>
        <w:t>进一步提升养老服务设施布局科学性、合理性和精准性，有效提高养老服务设施土地利用效率</w:t>
      </w:r>
      <w:r>
        <w:rPr>
          <w:rFonts w:hint="eastAsia" w:ascii="仿宋_GB2312" w:hAnsi="仿宋_GB2312" w:eastAsia="仿宋_GB2312" w:cs="仿宋_GB2312"/>
          <w:color w:val="auto"/>
          <w:sz w:val="32"/>
          <w:szCs w:val="32"/>
          <w:lang w:eastAsia="zh-CN"/>
        </w:rPr>
        <w:t>。民政、财政、发改等有关部门要</w:t>
      </w:r>
      <w:r>
        <w:rPr>
          <w:rFonts w:hint="eastAsia" w:ascii="仿宋_GB2312" w:hAnsi="仿宋_GB2312" w:eastAsia="仿宋_GB2312" w:cs="仿宋_GB2312"/>
          <w:b w:val="0"/>
          <w:bCs w:val="0"/>
          <w:color w:val="auto"/>
          <w:kern w:val="0"/>
          <w:sz w:val="32"/>
          <w:szCs w:val="32"/>
          <w:lang w:val="en-US" w:eastAsia="zh-CN" w:bidi="ar-SA"/>
        </w:rPr>
        <w:t>积极争取中央和省级资金支持，用好新型融资工具以及养老机构重大设施设备更新、专项债等政策，推动项目实施，</w:t>
      </w:r>
      <w:r>
        <w:rPr>
          <w:rFonts w:hint="eastAsia" w:ascii="仿宋_GB2312" w:hAnsi="仿宋_GB2312" w:eastAsia="仿宋_GB2312" w:cs="仿宋_GB2312"/>
          <w:b w:val="0"/>
          <w:bCs w:val="0"/>
          <w:color w:val="auto"/>
          <w:sz w:val="32"/>
          <w:szCs w:val="32"/>
          <w:lang w:val="en-US" w:eastAsia="zh-CN"/>
        </w:rPr>
        <w:t>促进养老服务网络更加系统完善</w:t>
      </w:r>
      <w:r>
        <w:rPr>
          <w:rFonts w:hint="eastAsia" w:ascii="仿宋_GB2312" w:hAnsi="仿宋_GB2312" w:eastAsia="仿宋_GB2312" w:cs="仿宋_GB2312"/>
          <w:color w:val="auto"/>
          <w:sz w:val="32"/>
          <w:szCs w:val="32"/>
          <w:lang w:eastAsia="zh-CN"/>
        </w:rPr>
        <w:t>。建立规划实施监测评估机制，跟踪核心指标和重点任务，开展中期、终期评估。评估坚持结果导向，统筹利用现有各类业务数据，避免重复建台账、增添基层负担。</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6ABDB79-8C22-49F1-92F8-AA6DAC5EBA2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EB569CC5-D2E5-44F5-B913-AE9DCCDF0638}"/>
  </w:font>
  <w:font w:name="Cambria">
    <w:panose1 w:val="02040503050406030204"/>
    <w:charset w:val="00"/>
    <w:family w:val="roman"/>
    <w:pitch w:val="default"/>
    <w:sig w:usb0="E00006FF" w:usb1="420024FF" w:usb2="02000000" w:usb3="00000000" w:csb0="2000019F" w:csb1="00000000"/>
  </w:font>
  <w:font w:name="方正黑体_GBK">
    <w:panose1 w:val="03000509000000000000"/>
    <w:charset w:val="86"/>
    <w:family w:val="auto"/>
    <w:pitch w:val="default"/>
    <w:sig w:usb0="00000001" w:usb1="080E0000" w:usb2="00000000" w:usb3="00000000" w:csb0="00040000" w:csb1="00000000"/>
  </w:font>
  <w:font w:name="方正小标宋简体">
    <w:panose1 w:val="02000000000000000000"/>
    <w:charset w:val="86"/>
    <w:family w:val="script"/>
    <w:pitch w:val="default"/>
    <w:sig w:usb0="00000001" w:usb1="080E0000" w:usb2="00000000" w:usb3="00000000" w:csb0="00040000" w:csb1="00000000"/>
    <w:embedRegular r:id="rId3" w:fontKey="{C64E77B0-144B-4904-B300-9D1BA0765D79}"/>
  </w:font>
  <w:font w:name="仿宋_GB2312">
    <w:panose1 w:val="02010609030101010101"/>
    <w:charset w:val="86"/>
    <w:family w:val="modern"/>
    <w:pitch w:val="default"/>
    <w:sig w:usb0="00000001" w:usb1="080E0000" w:usb2="00000000" w:usb3="00000000" w:csb0="00040000" w:csb1="00000000"/>
    <w:embedRegular r:id="rId4" w:fontKey="{854F5AE8-1450-4E19-BCAC-A280941A08FA}"/>
  </w:font>
  <w:font w:name="楷体_GB2312">
    <w:panose1 w:val="02010609030101010101"/>
    <w:charset w:val="86"/>
    <w:family w:val="modern"/>
    <w:pitch w:val="default"/>
    <w:sig w:usb0="00000001" w:usb1="080E0000" w:usb2="00000000" w:usb3="00000000" w:csb0="00040000" w:csb1="00000000"/>
    <w:embedRegular r:id="rId5" w:fontKey="{C313FDBB-E592-47AE-B144-9E088B3D12D9}"/>
  </w:font>
  <w:font w:name="方正仿宋_GBK">
    <w:panose1 w:val="02000000000000000000"/>
    <w:charset w:val="86"/>
    <w:family w:val="auto"/>
    <w:pitch w:val="default"/>
    <w:sig w:usb0="00000001" w:usb1="080E0000" w:usb2="00000000" w:usb3="00000000" w:csb0="00040000" w:csb1="00000000"/>
    <w:embedRegular r:id="rId6" w:fontKey="{9E9D0840-C118-4BD9-ACEA-1905F40A0E2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BE23E1"/>
    <w:multiLevelType w:val="singleLevel"/>
    <w:tmpl w:val="DFBE23E1"/>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07E7571"/>
    <w:rsid w:val="107E75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宋体" w:eastAsia="宋体" w:cs="Times New Roman"/>
      <w:kern w:val="2"/>
      <w:sz w:val="21"/>
      <w:szCs w:val="24"/>
      <w:lang w:val="en-US" w:eastAsia="zh-CN" w:bidi="ar-SA"/>
    </w:rPr>
  </w:style>
  <w:style w:type="paragraph" w:styleId="2">
    <w:name w:val="heading 1"/>
    <w:basedOn w:val="1"/>
    <w:next w:val="1"/>
    <w:qFormat/>
    <w:uiPriority w:val="9"/>
    <w:pPr>
      <w:keepNext/>
      <w:keepLines/>
      <w:spacing w:before="200" w:after="80" w:line="240" w:lineRule="auto"/>
      <w:ind w:firstLine="0"/>
      <w:outlineLvl w:val="0"/>
    </w:pPr>
    <w:rPr>
      <w:rFonts w:ascii="Cambria" w:hAnsi="Cambria" w:eastAsia="宋体" w:cs="Times New Roman"/>
      <w:b/>
      <w:bCs/>
      <w:color w:val="18324A"/>
      <w:sz w:val="36"/>
      <w:szCs w:val="28"/>
    </w:rPr>
  </w:style>
  <w:style w:type="paragraph" w:styleId="3">
    <w:name w:val="heading 2"/>
    <w:basedOn w:val="1"/>
    <w:next w:val="1"/>
    <w:unhideWhenUsed/>
    <w:qFormat/>
    <w:uiPriority w:val="9"/>
    <w:pPr>
      <w:keepNext/>
      <w:keepLines/>
      <w:spacing w:before="120" w:after="80" w:line="240" w:lineRule="auto"/>
      <w:ind w:firstLine="0"/>
      <w:outlineLvl w:val="1"/>
    </w:pPr>
    <w:rPr>
      <w:rFonts w:ascii="Cambria" w:hAnsi="Cambria" w:eastAsia="宋体" w:cs="Times New Roman"/>
      <w:b/>
      <w:bCs/>
      <w:color w:val="18324A"/>
      <w:sz w:val="32"/>
      <w:szCs w:val="26"/>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4">
    <w:name w:val="Normal Indent"/>
    <w:basedOn w:val="1"/>
    <w:next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0</Words>
  <Characters>0</Characters>
  <Lines>0</Lines>
  <Paragraphs>0</Paragraphs>
  <TotalTime>0</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2026-08-21T07:32:00Z</dcterms:created>
  <dc:creator>Obsidian</dc:creator>
  <cp:lastModifiedBy>Obsidian</cp:lastModifiedBy>
  <dcterms:modified xsi:type="dcterms:W3CDTF">2026-08-21T07:33:04Z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3F3BA1CB5C43427BBF9D72882486D6A9_11</vt:lpwstr>
  </property>
  <property fmtid="{D5CDD505-2E9C-101B-9397-08002B2CF9AE}" pid="4" name="KSOTemplateDocerSaveRecord">
    <vt:lpwstr>eyJoZGlkIjoiZjFmZWIzNDg2MmIzZjExOTIzMmViNTBmYTMwYTk0ZWYiLCJ1c2VySWQiOiIxMzEzNTU4NTcxIn0=</vt:lpwstr>
  </property>
</Properties>
</file>