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00" w:lineRule="exact"/>
        <w:rPr>
          <w:rFonts w:hint="eastAsia" w:ascii="黑体" w:hAnsi="黑体" w:eastAsia="黑体" w:cs="黑体"/>
          <w:b w:val="0"/>
          <w:bCs/>
          <w:lang w:val="en-US" w:eastAsia="zh-CN"/>
        </w:rPr>
      </w:pPr>
      <w:r>
        <w:rPr>
          <w:rFonts w:hint="eastAsia" w:ascii="黑体" w:hAnsi="黑体" w:eastAsia="黑体" w:cs="黑体"/>
          <w:b w:val="0"/>
          <w:bCs/>
          <w:lang w:val="en-US" w:eastAsia="zh-CN"/>
        </w:rPr>
        <w:t>附件7</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870"/>
        <w:gridCol w:w="1137"/>
        <w:gridCol w:w="1724"/>
        <w:gridCol w:w="7620"/>
        <w:gridCol w:w="661"/>
        <w:gridCol w:w="624"/>
        <w:gridCol w:w="785"/>
      </w:tblGrid>
      <w:tr>
        <w:trPr>
          <w:trHeight w:val="510" w:hRule="atLeast"/>
        </w:trPr>
        <w:tc>
          <w:tcPr>
            <w:tcW w:w="14174" w:type="dxa"/>
            <w:gridSpan w:val="8"/>
            <w:tcBorders>
              <w:tl2br w:val="nil"/>
              <w:tr2bl w:val="nil"/>
            </w:tcBorders>
            <w:noWrap/>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32"/>
                <w:szCs w:val="32"/>
              </w:rPr>
              <w:t>2021年度云南省联合类社团评估指标（试行）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一级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87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二级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三级指标</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四级指标</w:t>
            </w:r>
          </w:p>
        </w:tc>
        <w:tc>
          <w:tcPr>
            <w:tcW w:w="762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评分说明</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总分值</w:t>
            </w:r>
          </w:p>
        </w:tc>
        <w:tc>
          <w:tcPr>
            <w:tcW w:w="6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自评分</w:t>
            </w:r>
          </w:p>
        </w:tc>
        <w:tc>
          <w:tcPr>
            <w:tcW w:w="785"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4" w:hRule="atLeast"/>
        </w:trPr>
        <w:tc>
          <w:tcPr>
            <w:tcW w:w="75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基础条件（95分）</w:t>
            </w:r>
          </w:p>
        </w:tc>
        <w:tc>
          <w:tcPr>
            <w:tcW w:w="87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法人资格</w:t>
            </w: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法定代表人</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任职资格符合规定</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查看法定代表人产生（变更）的会议纪要和决议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法定代表人按章程规定产生（变更），得10分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□不能正常在本会工作</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w:t>
            </w:r>
            <w:r>
              <w:rPr>
                <w:rStyle w:val="9"/>
                <w:rFonts w:hint="eastAsia" w:ascii="黑体" w:hAnsi="黑体" w:eastAsia="黑体" w:cs="黑体"/>
                <w:b w:val="0"/>
                <w:bCs w:val="0"/>
                <w:color w:val="auto"/>
                <w:sz w:val="18"/>
                <w:szCs w:val="18"/>
                <w:lang w:val="en-US" w:eastAsia="zh-CN"/>
              </w:rPr>
              <w:t>最高</w:t>
            </w:r>
            <w:r>
              <w:rPr>
                <w:rStyle w:val="9"/>
                <w:rFonts w:ascii="黑体" w:hAnsi="黑体" w:eastAsia="黑体" w:cs="黑体"/>
                <w:b w:val="0"/>
                <w:bCs w:val="0"/>
                <w:color w:val="auto"/>
                <w:sz w:val="18"/>
                <w:szCs w:val="18"/>
              </w:rPr>
              <w:t>任职年龄超过70周岁</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□违反国家法律、法规，受过剥夺政治权利的刑事处罚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□限制民事行为能力或无民事行为能力</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□会长、秘书长由同一会员单位的人员担任，或者是近亲属，或者具有其他利害关系</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□兼任其他社会团体的法定代表人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□兼任秘书长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□连续担任两届以上（若章程有特殊规定，按章程规定执行）                                                                    □法律、法规规定不得担任法定代表人的其他情形</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注：出现上述任何一种情况，此项不得分。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5"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活动资金</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年末净资产不低于注册资金</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查看资产负债表中20</w:t>
            </w:r>
            <w:r>
              <w:rPr>
                <w:rStyle w:val="8"/>
                <w:rFonts w:hint="default" w:ascii="黑体" w:hAnsi="黑体" w:eastAsia="黑体" w:cs="黑体"/>
                <w:b w:val="0"/>
                <w:bCs w:val="0"/>
                <w:color w:val="auto"/>
                <w:sz w:val="18"/>
                <w:szCs w:val="18"/>
              </w:rPr>
              <w:t>20</w:t>
            </w:r>
            <w:r>
              <w:rPr>
                <w:rStyle w:val="8"/>
                <w:rFonts w:ascii="黑体" w:hAnsi="黑体" w:eastAsia="黑体" w:cs="黑体"/>
                <w:b w:val="0"/>
                <w:bCs w:val="0"/>
                <w:color w:val="auto"/>
                <w:sz w:val="18"/>
                <w:szCs w:val="18"/>
              </w:rPr>
              <w:t>年末净资产数额</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w:t>
            </w:r>
            <w:r>
              <w:rPr>
                <w:rStyle w:val="9"/>
                <w:rFonts w:hint="default" w:ascii="黑体" w:hAnsi="黑体" w:eastAsia="黑体" w:cs="黑体"/>
                <w:b w:val="0"/>
                <w:bCs w:val="0"/>
                <w:color w:val="auto"/>
                <w:sz w:val="18"/>
                <w:szCs w:val="18"/>
              </w:rPr>
              <w:t>20</w:t>
            </w:r>
            <w:r>
              <w:rPr>
                <w:rStyle w:val="9"/>
                <w:rFonts w:ascii="黑体" w:hAnsi="黑体" w:eastAsia="黑体" w:cs="黑体"/>
                <w:b w:val="0"/>
                <w:bCs w:val="0"/>
                <w:color w:val="auto"/>
                <w:sz w:val="18"/>
                <w:szCs w:val="18"/>
              </w:rPr>
              <w:t>年末净资产大于等于注册资金，得15分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w:t>
            </w:r>
            <w:r>
              <w:rPr>
                <w:rStyle w:val="9"/>
                <w:rFonts w:hint="default" w:ascii="黑体" w:hAnsi="黑体" w:eastAsia="黑体" w:cs="黑体"/>
                <w:b w:val="0"/>
                <w:bCs w:val="0"/>
                <w:color w:val="auto"/>
                <w:sz w:val="18"/>
                <w:szCs w:val="18"/>
              </w:rPr>
              <w:t>20</w:t>
            </w:r>
            <w:r>
              <w:rPr>
                <w:rStyle w:val="9"/>
                <w:rFonts w:ascii="黑体" w:hAnsi="黑体" w:eastAsia="黑体" w:cs="黑体"/>
                <w:b w:val="0"/>
                <w:bCs w:val="0"/>
                <w:color w:val="auto"/>
                <w:sz w:val="18"/>
                <w:szCs w:val="18"/>
              </w:rPr>
              <w:t>年末净资产</w:t>
            </w:r>
            <w:r>
              <w:rPr>
                <w:rStyle w:val="9"/>
                <w:rFonts w:ascii="黑体" w:hAnsi="黑体" w:eastAsia="黑体" w:cs="黑体"/>
                <w:b w:val="0"/>
                <w:bCs w:val="0"/>
                <w:color w:val="auto"/>
                <w:sz w:val="18"/>
                <w:szCs w:val="18"/>
                <w:lang w:eastAsia="zh-CN"/>
              </w:rPr>
              <w:t>不</w:t>
            </w:r>
            <w:r>
              <w:rPr>
                <w:rStyle w:val="9"/>
                <w:rFonts w:ascii="黑体" w:hAnsi="黑体" w:eastAsia="黑体" w:cs="黑体"/>
                <w:b w:val="0"/>
                <w:bCs w:val="0"/>
                <w:color w:val="auto"/>
                <w:sz w:val="18"/>
                <w:szCs w:val="18"/>
              </w:rPr>
              <w:t>低于注册资金</w:t>
            </w:r>
            <w:r>
              <w:rPr>
                <w:rStyle w:val="9"/>
                <w:rFonts w:ascii="黑体" w:hAnsi="黑体" w:eastAsia="黑体" w:cs="黑体"/>
                <w:b w:val="0"/>
                <w:bCs w:val="0"/>
                <w:color w:val="auto"/>
                <w:sz w:val="18"/>
                <w:szCs w:val="18"/>
                <w:lang w:eastAsia="zh-CN"/>
              </w:rPr>
              <w:t>的</w:t>
            </w:r>
            <w:r>
              <w:rPr>
                <w:rStyle w:val="9"/>
                <w:rFonts w:ascii="黑体" w:hAnsi="黑体" w:eastAsia="黑体" w:cs="黑体"/>
                <w:b w:val="0"/>
                <w:bCs w:val="0"/>
                <w:color w:val="auto"/>
                <w:sz w:val="18"/>
                <w:szCs w:val="18"/>
              </w:rPr>
              <w:t>50%，得5分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w:t>
            </w:r>
            <w:r>
              <w:rPr>
                <w:rStyle w:val="9"/>
                <w:rFonts w:hint="eastAsia" w:ascii="黑体" w:hAnsi="黑体" w:eastAsia="黑体" w:cs="黑体"/>
                <w:b w:val="0"/>
                <w:bCs w:val="0"/>
                <w:color w:val="auto"/>
                <w:sz w:val="18"/>
                <w:szCs w:val="18"/>
                <w:lang w:val="en-US" w:eastAsia="zh-CN"/>
              </w:rPr>
              <w:t>2020年末净资产低于注册资金的50%</w:t>
            </w:r>
            <w:r>
              <w:rPr>
                <w:rStyle w:val="9"/>
                <w:rFonts w:ascii="黑体" w:hAnsi="黑体" w:eastAsia="黑体" w:cs="黑体"/>
                <w:b w:val="0"/>
                <w:bCs w:val="0"/>
                <w:color w:val="auto"/>
                <w:sz w:val="18"/>
                <w:szCs w:val="18"/>
              </w:rPr>
              <w:t>，得0分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5"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名称牌匾与登记证书悬挂情况</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□有名称牌匾悬挂于办公场所外，且登记证书悬挂于办公场所内，得5分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□未按要求悬挂名称牌匾或登记证书，得0分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4"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住所</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有独立的办公用房</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查看办公场所相关证明材料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□自有产权，提供产权证明，得10分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□租赁提供租赁合同或无偿使用，独立办公，得8分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□与其他单位合署办公或其他情况，得0分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0"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w:t>
            </w:r>
          </w:p>
        </w:tc>
        <w:tc>
          <w:tcPr>
            <w:tcW w:w="113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章程制定（修订）程序符合规定</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查看制定或修改章程的会议纪要或决议</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□2/3以上会员（会员代表）出席会员（会员代表）大会，到会人员半数以上表决通过，表决方式为无记名方式，能提供会议纪要或决议，并有相应的档案痕迹资料（签到表、议程、修改说明），得10分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□2/3以上会员（会员代表）出席会员（会员代表）大会，到会人员半数以上表决通过，举手表决的，能提供会议纪要或决议，并有相应的档案痕迹资料（签到表、议程、修改说明），得5分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□无会议纪要，或其他表决形式的，得0分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2"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章程修订后履行核准程序</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查看章程核准材料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□盖有登记管理机关章程核准章的章程，得10分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□不能提供盖有登记管理机关章程核准章的章程，得0分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注：修改章程应当报登记管理机关核准，正在办理过程中视为章程按规定核准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2"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登记和备案</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名称、业务范围、住所、注册资金、法定代表人、业务主管单位等按规定办理变更登记</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查看变更登记材料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□变更事项按规定和时限办理变更登记手续，得8分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□变更事项超过30日办理的或正在办理变更但提交时限已超过30日，得5分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□名称、业务范围、住所、注册资金、法定代表人、业务主管单位等，其中有一项变更但未按规定办理变更手续，得0分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注1：未发生变更的得满分。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2"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按规定办理备案</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查看备案材料</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负责人（会长、监事长、副会长、秘书长）备案情况：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□理事、常务理事、负责人、名誉职务按干管权限规定履行报批手续，一届一备、得4分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□理事、常务理事、负责人、名誉职务未按干管权限规定履行报批手续，得0分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会费标准执行情况</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□在章程中载明会费标准，且不超过4档，得4分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□在章程中未载明会费标准，或超过4档，得0分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注：如已执行会费标准为四挡的提供佐证材料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其他备案情况（例如：印章、银行）：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□按规定办理印章备案手续，得2分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□按规定办理银行账户备案手续，得2分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□其他未按规定办理备案手续，得0分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注1：此处计分方式为：负责人备案情况4分+会费标准执行情况4分+其他备案情况4分=12分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注2：其他备案情况计分方式为累加计分：印章备案2分+银行账户备案2分=4分，   </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2"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年检结论</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查看登记证书年检记录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□2018年与2019年两年的年检结论都合格，得10分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□2018年、2019年中任一年份年检结论为基本合格，得2分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内部治理（382分）</w:t>
            </w:r>
          </w:p>
        </w:tc>
        <w:tc>
          <w:tcPr>
            <w:tcW w:w="87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组织机构</w:t>
            </w: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发展规划</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发展规划制定情况</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届内发展规划制定</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□有单独详尽的发展规划，得2分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□发展规划制定一般或不太详尽，得1分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□未制定发展规划，得0分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发展规划落实：</w:t>
            </w:r>
            <w:r>
              <w:rPr>
                <w:rStyle w:val="9"/>
                <w:rFonts w:ascii="黑体" w:hAnsi="黑体" w:eastAsia="黑体" w:cs="黑体"/>
                <w:b w:val="0"/>
                <w:bCs w:val="0"/>
                <w:color w:val="auto"/>
                <w:sz w:val="18"/>
                <w:szCs w:val="18"/>
              </w:rPr>
              <w:t xml:space="preserve">                                                                                     □落实规划情况很好，得3分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□落实规划情况一般，得1分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□规划未落实，得0分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注1：将发展规划内容与相关业务活动相对照。</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注2：四级指标发展规划制定情况得分</w:t>
            </w:r>
            <w:r>
              <w:rPr>
                <w:rStyle w:val="8"/>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t>届内发展规划制定得分+发展规划落实；</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注3：五级指标届内发展规划制定、发展规划落实计分方式为等级制计分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305"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会员（代表）大会</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会议准备及召开程序符合章程规定</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查看本届会员（会员代表）大会的会议纪要、决议及相关材料</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□按时召开会员（会员代表）大会，2/3以上会员（会员代表）出席，决议经到会人员半数以上表决通过，并制定了详细的会议方案，相关材料详细全面，得8分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□按时召开会员（会员代表）大会，2/3以上会员（会员代表）出席，决议经到会人员半数以上表决通过，会议方案不够详细，相关材料不够详细全面，得6分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□按时召开会员（会员代表）大会，2/3以上会员（会员代表）出席，决议经到会人员半数以上表决通过，会议方案不详细，相关材料不详细全面，得4分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□按时召开会员（会员代表）大会，2/3以上会员（会员代表）出席，决议经到会人员半数以上表决通过，未制定会议方案，无相关材料或不详细全面，得2分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□召开会员（会员代表）大会或全体会员（会员代表）人数和表决人数不符合规定或未按时召开会议，得0分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注：受新冠疫情影响，未召开会员（会员代表）大会的，得满分。以通讯方式表决的，此项不得分。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682"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理事会、常务理事会</w:t>
            </w: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按期换届情况</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查看最近一次换届资料和相关会议纪要、决议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□理事会按期换届，得4分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□理事超期换届的，得2分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□理事会未按期换届，超期未换届，得0分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注1：提前或延期换届经登记管理机关备案视为按期换届。</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75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理事产生及理事会召开情况</w:t>
            </w:r>
          </w:p>
        </w:tc>
        <w:tc>
          <w:tcPr>
            <w:tcW w:w="7620"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查看选举、罢免理事的会员（会员代表）大会的会议纪要和决议</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理事产生：</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□产生、罢免理事，会议出席人数和表决人数符合规定，会员或会员代表大会须全体2/3以上会员或会员代表出席，出席会员半数以上表决通过，得3分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□未按章程规定条件和程序产生、罢免理事，得0分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理事会召开：</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□理事会召开程序和次数符合章程规定，得3分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□理事会召开程序或次数不符合章程规定，得0分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注1：提供会议通知、签到表。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注2：理事会每年至少召开一次</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注3：此处四级指标理事产生及理事会召开情况得分=五级指标理事产生得分+理事会召开得分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5599"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常务理事产生及常务理事会召开情况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查看选举、罢免常务理事的理事会会议纪要和决议</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常务理事产生：</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□产生、罢免常务理事，会议出席人数和表决人数符合规定，理事会须全体理事2/3以上出席，到会理事半数以上表决通过，得3分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□未按章程规定条件和程序产生、罢免常务理事，得0分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常务理事会召开：</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□常务理事会召开程序和次数符合章程规定，得3分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□常务理事会召开程序或次数不符合章程规定，得0分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注1：提供会议通知、签到表。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注2：常务理事会至少每半年召开一次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注3：此处四级指标常务理事产生及常务理事会召开情况得分=五级指标常务理事产生得分+常务理事会召开得分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注4：未设常务理事会的，常务理事产生、罢免和常务理事会召开情况</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2"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会议纪要规范</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□（常务）理事会有详细会议纪要，得4分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□有召开（常务）理事会会议的会议纪要但不详细、规范，得2分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□无会议纪要，得0分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注1：提供会议纪要。</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理事会（常务理事会）按章程履行职权</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查看会议纪要与章程</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□理事会、常务理事会表决事项与章程规定职权一致且有理事会、常务理事会相关制度，得5分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□理事会、常务理事会表决事项与章程规定职权一致但没有有理事会、常务理事会相关制度，得3分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□理事会、常务理事会有越权行为或采用其他形式（例如：会长办公会）代替理事会、常务理事会，得0分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理事会、常务理事会的越权行为主要包括：常务理事由常务理事会产生、罢免，理事会、常务理事会通过修改章程、修改会费标准和产生、罢免理事等决议，对照章程查看。未设立常务理事会的，常务理事会指标得满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监事或监事会</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设立情况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□按章程设立监事会，选举产生监事、监事长，且监事、监事长与理事以上人员无近亲属关系，得2分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□未设立监事会，得0分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作用发挥</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□监事列席理事会（常务理事会）、会员（会员代表）大会，按照章程召开监事会，形成会议纪要和监事会报告并盖公章，得2分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□监事列席理事会（常务理事会）、会员（会员代表）大会，按照章程召开监事会，形成会议纪要并盖公章，未形成监事会报告，得1分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□监事未列席理事会（常务理事会）、会员（会员代表）大会，未按照章程召开监事会，未形成会议纪要，未形成监事会报告，得0分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民主决策</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会员（会员代表）大会表决事项及表决形式</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查看会员（会员代表）大会表决事项会议纪要、民主决策相关证明材料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□会员（会员代表）大会按照章程召开会议并进行表决，得7分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□制定、修改章程、会费标准，选举、罢免理事、会长、副会长、秘书长（适用于选举产生秘书长），以举手表决的，得3分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□民主决策不符合章程规定，得0分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224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负责人产生选举形式及表决形式</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查看负责人产生会议纪要、决议</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负责人选举形式：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□负责人的产生选举形式不符合章程规定，得0分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查看负责人产生会议纪要、决议</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负责人选举表决形式：</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□以无记名投票表决的，得3分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□以举手表决的，得1分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□不符合要求的，得0分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分支（代表）机构</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设立程序符合规定</w:t>
            </w:r>
            <w:r>
              <w:rPr>
                <w:rStyle w:val="6"/>
                <w:rFonts w:ascii="黑体" w:hAnsi="黑体" w:eastAsia="黑体" w:cs="黑体"/>
                <w:b w:val="0"/>
                <w:bCs w:val="0"/>
                <w:color w:val="auto"/>
                <w:kern w:val="0"/>
                <w:sz w:val="18"/>
                <w:szCs w:val="18"/>
              </w:rPr>
              <w:footnoteReference w:id="0"/>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查看分支（代表）机构设立记录等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□未设立分支（代表）机构，得3分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□按照章程规定，经理事会或常务理事会决定设立分支（代表）机构，得3分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□未按章程规定程序设立分支（代表）机构，得0分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注：不得设置地域性分支（代表）机构，否则不得分。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名称使用符合规定</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□未设立分支（代表）机构，得2分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□分支（代表）机构名称使用符合规定，得2分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制定管理办法</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□未设立分支（代表）机构，得2分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□有分支（代表）机构管理办法、分支（代表）机构工作计划、总结，得2分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□未制定分支（代表）机构管理办法，分支（代表）机构工作计划、总结，得0分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434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管理及工作开展情况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查看分支（代表）机构活动情况</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分支（代表）机构管理：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□在年度工作报告中将分支机构、代表机构名称、负责人、住所、受理程序、开展活动情况报送登记管理机关，接受年度检查，得3分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□未在年度工作报告中将分支机构、代表机构名称、负责人、住所、受理程序、开展活动情况报送登记管理机关，接受年度检查，得0分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分支（代表）机构工作开展情况：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□分支（代表）机构根据社会团体授权开展活动、发展会员，得2分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□分支（代表）机构未经授权发展会员或分支（代表）机构开展活动时未冠以学会名称，得0分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□分支（代表）机构疏于管理，得0分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注：四级指标管理及工作开展情况得分=五级指标分支（代表）机构管理得分+ 分支（代表）机构工作开展情况得分                                           </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党建工作</w:t>
            </w: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党的建设和社会主义核心价值观写入章程</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将党的建设相关内容写入章程</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查看章程</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□将党的建设相关内容写入章程，得10分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社会主义核心价值观写入章程</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□将社会主义核心价值观内容写入章程，得10分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党组织建立情况</w:t>
            </w:r>
            <w:r>
              <w:rPr>
                <w:rStyle w:val="6"/>
                <w:rFonts w:ascii="黑体" w:hAnsi="黑体" w:eastAsia="黑体" w:cs="黑体"/>
                <w:b w:val="0"/>
                <w:bCs w:val="0"/>
                <w:color w:val="auto"/>
                <w:kern w:val="0"/>
                <w:sz w:val="18"/>
                <w:szCs w:val="18"/>
              </w:rPr>
              <w:footnoteReference w:id="1"/>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查看党组织相关材料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□设立党组织（独立党组织、联合党组织、临时党组织），且开展了党的工作的，得18分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□不具备成立党组织条件的，但开展了党的工作的，得8分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□应建未建，得0分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□未开展党的工作一律，得0分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注1：已经建立党组织的，提供成立党组织的批复。</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注2：通过党建工作指导员开展党的工作和活动的，请提供有关部门的材料（社会组织党委办、行业指导部门等）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注3：不具备条件未组建党组织的，但开展了党的工作，提供党建工作台账资料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注4：此处为等级制计分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注5：党组织应建未建或常年不开展活动，不发挥作用的，评估时不得评为4A及以上</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18</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党组织活动情况</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组织生活制度落实情况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查看党支部活动记录本</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□党组织制度健全，各种工作记录（包括“三会一课”记录，主题党日，组织生活会记录、民主评议党员、党支部活动记录等）内容完整，格式规范，得2分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□党组织制度不健全，各种工作记录不规范，得0分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注：不能提供独立的党支部活动记录本的得0分，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组织党员开展活动情况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□2018、2019与2020年每年组织党员开展党建活动3次及以上、学习12次，得6分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□开展党建活动2次，得4分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□开展党建活动1次，得2分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□未开展党建活动，得0得分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□开展党建活动得到省级以上宣传或表彰，提供相关材料，得4分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注1：此处为等级制计分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注2：若才成立的党组织就查看当年记录，按照当年的记录情况给分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党组织发挥作用情况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查看党组织活动记录本、谈心谈话相关材料、荣誉证书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□将党员的教育监督管理纳入到党组织制度建设中，得5分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□党组织得到相关荣誉证书，得5分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□不符合以上要求，党员有违规违纪造成不良影响的并在等级评估中作为重要指标，得0分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注：此次为累加计分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333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人力资源</w:t>
            </w: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党政领导干部兼任负责人情况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查看负责人简历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□理事、常务理事、负责人、名誉职务无领导干部兼任或有领导干部兼任但已按干管权限办理审批（备案）手续，得8分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□理事、常务理事、负责人、名誉职务有领导干部兼任，但未按干管权限办理审批（备案）手续，得0分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三类兼职人员需按干管权限报批（备案）：1.全省所有公务员和参照公务员管理人员中担任领导职务的人员，也包括非领导职务的人员；2.全省所有国有企业、国有金融企业等单位及其内设机构和子公司的领导人员，以及列入参照公务员法管理的事业单位及其内设机构的领导人员；3.全省各级各类党政机关退（离）休干部，国有企事业单位退（离）休领导人员。</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337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年龄届次符合规定</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查看负责人简历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负责人年龄符合规定：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□负责人年龄符合规定（不超过70周岁），得3分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□负责人年龄不符合规定，得0分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负责人届次符合规定：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□届次符合规定，连任届次不超过2届，得2分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注：四级指标年龄届次符合规定得分=五级指标负责人年龄符合规定得分+负责人届次符合规定得分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秘书长专职</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查看秘书长简历，是否签订劳动合同</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□秘书长为专职，得5分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□秘书长为兼职，得3分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269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人事管理</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专职工作人员数量</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查看人员名册、工资表、劳动合同</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□有专职工作人员大于等于3人，得7分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□有专职工作人员2人，得5分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□有专职工作人员1人，得3分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□无专职工作人员，得0分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劳动合同签订及薪酬管理</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查看劳动合同签订与薪酬管理制度</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薪酬管理：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□建立完善的薪酬管理制度并落实，得5分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□建立薪酬管理制度不够详尽或者落实不到位，得2分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□未建立薪酬管理制度，得0分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劳动合同签订：</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□与全部专职工作人员签订劳动合同，得5分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□与部分或未与专职工作人员签订劳动合同，得0分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注1：提供与专职工作人员签订的劳动合同，且信息填写完整。</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注2：四级指标劳动合同签订及薪酬管理得分=薪酬管理得分+劳动合同签订得分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注3：五级指标薪酬管理、劳动合同签订计分方式为等级制计分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组织或参加法律法规或业务培训</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查看参加社会组织相关知识培训证明材料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2018、2019、2020年参加相关政府部门组织的社会组织相关知识培训情况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□5人次或以上，得5分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□4人次，得4分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□3人次，得3分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□2人次，得2分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□1人次，得1分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□未参加过培训，得0分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社会保险及住房公积金</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查看社保缴纳记录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□为全部专职工作人员缴纳五险及购买住房公积金，得7分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□为全部专职工作人员缴纳五险，但未购买住房公积金，得4分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□为部分或没有为专职员工缴纳五险，得0分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注1：社会组织必须为所有专职工作人员购买五险，提供购买五险一金相关证明材料。</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w:t>
            </w:r>
          </w:p>
        </w:tc>
        <w:tc>
          <w:tcPr>
            <w:tcW w:w="1137"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管理制度</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档案、证章管理制度</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查看档案、证章管理制度</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档案管理制度：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□档案管理制度详细、规范，得2分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□未制定档案管理制度，得0分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证章管理制度：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□证章管理制度详细、规范，得3分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□未制定证章管理制度，得0分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注：四级指标档案、证章管理制度得分=档案管理制度得分+证章管理制度得分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157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管理情况</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□档案资料齐全、整理有序，档案交接手续完备或档案未发生交接情况，得4分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□档案资料不全，或档案资料整理无序、混乱，或未履行档案交接手续，得0分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218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证书管理情况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查看证书管理及相关情况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□法人登记证书均在有效期内且证书均保存在社团住所、完好的，得2分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□有专人负责，得1分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注：此处为累加计分方式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rPr>
          <w:trHeight w:val="295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印章、银行账户管理情况</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查看印章、银行账户管理及相关情况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□制定有印章管理制度，得1分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□制定有银行账户管理制度，得1分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□印章使用符合规范并备案，得0.5分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□银行账户使用符合规范并备案，得0.5分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注：此处为累加计分方式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3" w:type="dxa"/>
            <w:vMerge w:val="continue"/>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财务管理</w:t>
            </w: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合法运营</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经费来源和资金使用</w:t>
            </w:r>
            <w:r>
              <w:rPr>
                <w:rStyle w:val="6"/>
                <w:rFonts w:ascii="黑体" w:hAnsi="黑体" w:eastAsia="黑体" w:cs="黑体"/>
                <w:b w:val="0"/>
                <w:bCs w:val="0"/>
                <w:color w:val="auto"/>
                <w:kern w:val="0"/>
                <w:sz w:val="18"/>
                <w:szCs w:val="18"/>
              </w:rPr>
              <w:footnoteReference w:id="2"/>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查看经费来源和资金使用情况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□未发现违反国家政策法规、章程规定的事项，得20分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□存在以下事项其中任何1项，得0分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（1）存在侵占、私分、挪用资产、发生有失公允的关联交易、违规支付佣金或回扣、违规进行资金拆借</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（2）存在账外资金或小金库</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（3）存在违规收费行为，包括违规接受和使用捐赠、资助，捐赠专用收据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（4）存在使用不合规凭证或票据列支费用                                                               </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资金列入符合规定的单位账簿</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查看资金来源和单位账簿</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□全部资金列入符合规定的单位账簿，得15分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□存在资金未列入符合规定的单位账簿，得0分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会计人员配备</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查看会计人员的</w:t>
            </w:r>
            <w:r>
              <w:rPr>
                <w:rStyle w:val="8"/>
                <w:rFonts w:ascii="黑体" w:hAnsi="黑体" w:eastAsia="黑体" w:cs="黑体"/>
                <w:b w:val="0"/>
                <w:bCs w:val="0"/>
                <w:color w:val="auto"/>
                <w:sz w:val="18"/>
                <w:szCs w:val="18"/>
                <w:lang w:eastAsia="zh-CN"/>
              </w:rPr>
              <w:t>相关会计专业资格</w:t>
            </w:r>
            <w:r>
              <w:rPr>
                <w:rStyle w:val="8"/>
                <w:rFonts w:ascii="黑体" w:hAnsi="黑体" w:eastAsia="黑体" w:cs="黑体"/>
                <w:b w:val="0"/>
                <w:bCs w:val="0"/>
                <w:color w:val="auto"/>
                <w:sz w:val="18"/>
                <w:szCs w:val="18"/>
              </w:rPr>
              <w:t>，后续教育及培训记录、工资表、社会保险缴纳记录等资料。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□配备2名及以上具有会计经验的专职工作人员负责财务工作，得5分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□由主管（挂靠）、代理记账公司等代理记账、或外单位人员兼任会计，得3分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□没有会计人员负责财务工作，得0分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注：此处为等级制得分方式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会计人员岗位职责</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查看会计人员岗位职责的建立情况，会计人员的具体分工情况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□会计岗位设置合理且各岗位会计人员的职责明确，得3分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□会计岗位设置不合理或岗位职责不明确，得0分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会计机构负责人</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查看会计机构负责人的专业技术资格证书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□会计机构负责人具有会计师以上职称，得2分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□会计机构负责人具有助理会计师职称，得1分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□会计机构负责人无职称，得0分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注：此处为等级制得分方式</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会计人员变动</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□2018、2019、2020年度会计人员变动的交接手续齐全或未发生会计人员变动的，得2分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□2018、2019、2020年年度会计人员变动的交接手续不全，得0分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核算流程</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□会计核算按流程进行，得3分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账务处理</w:t>
            </w:r>
            <w:r>
              <w:rPr>
                <w:rStyle w:val="6"/>
                <w:rFonts w:ascii="黑体" w:hAnsi="黑体" w:eastAsia="黑体" w:cs="黑体"/>
                <w:b w:val="0"/>
                <w:bCs w:val="0"/>
                <w:color w:val="auto"/>
                <w:kern w:val="0"/>
                <w:sz w:val="18"/>
                <w:szCs w:val="18"/>
              </w:rPr>
              <w:footnoteReference w:id="3"/>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查看账簿及会计凭证、会计报表，检查社会团体账务处理是否符合《民间非营利组织会计制度》的规定</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口严格执行《民间非营利组织会计制度》，得15分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口执行《民间非营利组织会计制度》，但存在不符合《民间非营利组织会计制度》的情况，得8分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口未执行《民间非营利组织会计制度》或会计核算中存在弄虚作假行为，情节严重的，得0分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存在以下问题，该项不得分：1．执行《民间非营利组织会计制度》以外的会计制度或未按《民间非营利组织会计制度》的要求设置会计科目或自编的会计报表不符合《民间非营利组织会计制度》的规定；2．存在虚列支出、虚构成本、伪造单据、取得虚假票据等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会计电算化</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□会计核算实行电算化，得2分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□会计核算未实行电算化，得0分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会计档案管理</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□会计档案有专人管理，存放有序、查阅方便，且建立会计档案保管清册（有立卷、归档、查阅、保管、销毁和移交等记录），得5分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做到会计档案有专人管理，存放有序、查阅方便，或未建立会计档案保管清册（有立卷、归档、查阅、保管、销毁和移交等记录），但会计凭证、账本、报表及其他会计资料装订整齐，顺序编号，签章齐全，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注：此处为等级制得分方式</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货币资金和实物资产管理</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货币资金管理制度</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查看货币资金管理、收支管理、支出审批等制度，检查货币管理制度内容是否完整，是否明确以下内容：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（1）建立货币资金岗位责任制，明确办理现金业务的不相容岗位互相分离、制约和监督机制；</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（2）建立规范的授权审批制度，对支出标准、审批权限有明确规定：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（3）建立单位负责人支出的互签互批制度的内容：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（4）建立现金盘点清查和银行对账制度。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口制定了货币资金管理制度，且较全面，得2分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口制定了货币资金管理制度，但不全面，得1分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口未制定货币资金管理制度，得0分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注1：此处为等级制计分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rPr>
          <w:trHeight w:val="44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货币资金使用</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查看账簿凭证等，检查货币资金资金使用是否做到以下事项：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（1）资金使用及审批手续齐全、符合制度的规定：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（2）按规定使用现金和银行存款，无超标准使用现金现象：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（3）现金管理做到日清月结，及时登记，无白条抵库或大额库存现金结余的现象：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（4）银行印鉴由不同人员保管：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（5）按月编制银行存款余额调节表：</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（6）按国家规定购汇和结汇。</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口执行情况较规范，得5分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口执行情况一般，得2分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实物资产管理制度</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查看资产管理制度，检查组织是否建立完善的资产管理制度，是否明确实物资产和无形资产的计量折旧及摊销政策，实物资产购置、验收、使用、保管、清查、处置等程序。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□制定了资产管理制度，且较全面，得2分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□口定了资产管理制度，但不全面，得1分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口未制定资产管理制度，得0分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注1：此处为等级制计分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实物资产使用</w:t>
            </w:r>
          </w:p>
        </w:tc>
        <w:tc>
          <w:tcPr>
            <w:tcW w:w="7620" w:type="dxa"/>
            <w:tcBorders>
              <w:tl2br w:val="nil"/>
              <w:tr2bl w:val="nil"/>
            </w:tcBorders>
            <w:noWrap w:val="0"/>
            <w:vAlign w:val="center"/>
          </w:tcPr>
          <w:p>
            <w:pPr>
              <w:widowControl/>
              <w:spacing w:line="420" w:lineRule="exact"/>
              <w:jc w:val="left"/>
              <w:textAlignment w:val="center"/>
              <w:rPr>
                <w:rStyle w:val="9"/>
                <w:rFonts w:hint="default"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查看资产购置（接受捐赠）、领用（发放）、保管、盘点、核算等方面的管理情况，具体考模：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（1）实物资产购进、领用、保管、处置审批手续完善；</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（2）接受捐赠的物资价值确认，即公允价值证明文件充分；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（3）接受捐赠物资的接收或发放手续齐全或按规定进行核算；</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（4）对实物资产至少每年盘点一次：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（5）不存在账外资产。</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□执行情况规范，得8分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口执行情况较规范，得5分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口执行情况一般，得2分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口执行情况差，得0分</w:t>
            </w:r>
          </w:p>
          <w:p>
            <w:pPr>
              <w:widowControl/>
              <w:spacing w:line="420" w:lineRule="exact"/>
              <w:jc w:val="left"/>
              <w:textAlignment w:val="center"/>
              <w:rPr>
                <w:rFonts w:ascii="黑体" w:hAnsi="黑体" w:eastAsia="黑体" w:cs="黑体"/>
                <w:b w:val="0"/>
                <w:bCs w:val="0"/>
                <w:color w:val="auto"/>
                <w:sz w:val="18"/>
                <w:szCs w:val="18"/>
              </w:rPr>
            </w:pPr>
            <w:r>
              <w:rPr>
                <w:rStyle w:val="9"/>
                <w:rFonts w:ascii="黑体" w:hAnsi="黑体" w:eastAsia="黑体" w:cs="黑体"/>
                <w:b w:val="0"/>
                <w:bCs w:val="0"/>
                <w:color w:val="auto"/>
                <w:sz w:val="18"/>
                <w:szCs w:val="18"/>
              </w:rPr>
              <w:t>注1：固定资产核算不正确：包括：（1）固定资产标准不明确；（2）将符合固定资产条件的资产做为费用核算；（3）未计提折旧或折旧计提不正确；（4）未及时进行盘号、盘盈、毁損、减值处理。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投资管理制度</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□建立了合法、安全、有效的风险防控管理制度，得2分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投资管理</w:t>
            </w:r>
            <w:r>
              <w:rPr>
                <w:rStyle w:val="6"/>
                <w:rFonts w:ascii="黑体" w:hAnsi="黑体" w:eastAsia="黑体" w:cs="黑体"/>
                <w:b w:val="0"/>
                <w:bCs w:val="0"/>
                <w:color w:val="auto"/>
                <w:kern w:val="0"/>
                <w:sz w:val="18"/>
                <w:szCs w:val="18"/>
              </w:rPr>
              <w:footnoteReference w:id="4"/>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投资履行决策程序：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履行了可研、集体决策、后续监督等管理程序，且符合行业协会的宗旨，维护行业协会的信誉、项目（全部）资料完整，其中：进行委托投资的，应当委托银行或者具有资质的金融机构进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口上两个年度或本届理事会期间新发生的各种投资项目未履行可研、集体决策、后续监督等管理程序，或投资项目（全部）资料不完整，得3分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未履行可研、集体决策、后续监督等管理程序，且不符合行业协会的宗旨，未维护行业协会的信誉，投资项目（全部）资料不完整，进行委托投资但没有委托银行或者具有资质的金融机构进行，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核算投资，损益或减值准备情况：</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口按规定采用正确方法核算投资、收益、损失或减值准备，且按权责发生制计算的年投资收益率不低于5％，得5分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口未按规定采用正确方法核算投资、收益、损失或减值准备，且按权责发生制计算的年投资收益率低于5％，得0分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注1：无投资的不扣分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注2：四级指标投资管理得分=投资履行决策程序得分+核算投资，损益或减值准备情况得分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注2：投资履行决策程序得分计分方式为等级制计分</w:t>
            </w:r>
          </w:p>
        </w:tc>
        <w:tc>
          <w:tcPr>
            <w:tcW w:w="661"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业务收支</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收入管理</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查看相关收入票据</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□各项收入严格遵守和执行国家有关规定，合理收费。且各项收入必须全部入账，不得坐支现金和帐外设账，得5分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□学会收取会费，必须使用国家规定的专用正式发票，并交会计人员及时入帐，不得坐支，得5分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注：此处得分为累加计分</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5"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支出管理</w:t>
            </w:r>
            <w:r>
              <w:rPr>
                <w:rStyle w:val="6"/>
                <w:rFonts w:ascii="黑体" w:hAnsi="黑体" w:eastAsia="黑体" w:cs="黑体"/>
                <w:b w:val="0"/>
                <w:bCs w:val="0"/>
                <w:color w:val="auto"/>
                <w:kern w:val="0"/>
                <w:sz w:val="18"/>
                <w:szCs w:val="18"/>
              </w:rPr>
              <w:footnoteReference w:id="5"/>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查看会计凭证及附件所体现的审批记录</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制度中对支付标准、审批权限规定情况：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□所建立的费用或收支管理制度中对支付标准、审批权限有明确规定，得3分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□所建立的费用或收支管理制度中未对支付标准、审批权限有明确规定，得0分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支出审批手续情况：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□各项支出审批手续齐全，符合制度要求，得3分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□各项支出审批手续不齐全，不符合制度要求，得0分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负责人经手开支的监督情况：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□单位负责人经手的开支，由其他领导签章进行审批，得4分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□单位负责人经手的开支未由其他领导签章进行审批，而是由其他人做经手人、本人负责自行审批，得0分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注：四级指标支出管理得分=制度中对支付标准、审批权限规定情况得分+支出审批手续情况得分+负责人经手开支的监督情况</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0" w:hRule="atLeast"/>
        </w:trPr>
        <w:tc>
          <w:tcPr>
            <w:tcW w:w="753"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42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会费管理</w:t>
            </w:r>
          </w:p>
        </w:tc>
        <w:tc>
          <w:tcPr>
            <w:tcW w:w="1724" w:type="dxa"/>
            <w:tcBorders>
              <w:tl2br w:val="nil"/>
              <w:tr2bl w:val="nil"/>
            </w:tcBorders>
            <w:noWrap w:val="0"/>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会费标准及层级</w:t>
            </w:r>
          </w:p>
        </w:tc>
        <w:tc>
          <w:tcPr>
            <w:tcW w:w="7620" w:type="dxa"/>
            <w:tcBorders>
              <w:tl2br w:val="nil"/>
              <w:tr2bl w:val="nil"/>
            </w:tcBorders>
            <w:noWrap w:val="0"/>
            <w:vAlign w:val="center"/>
          </w:tcPr>
          <w:p>
            <w:pPr>
              <w:widowControl/>
              <w:spacing w:line="42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查看会费标准的制定、收取管理、监督情况</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会费标准制定情况：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□会费标准制定或修改经会员（会员代表）大会无记名表决通过，得5分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□会费标准制定或修改未经会员（会员代表）大会无记名表决通过，得0分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会费档次执行合理：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□会费档次设置合理且不超过4档，得5分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□会费档次设置相对合理或超过4挡，得2分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□会费档次设置不合理，得0分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注1：四级指标会费标准及层级=会费标准制定情况得分+会费档次执行合理得分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注2：会费档次执行合理得分计算方式为等级制</w:t>
            </w:r>
          </w:p>
        </w:tc>
        <w:tc>
          <w:tcPr>
            <w:tcW w:w="661" w:type="dxa"/>
            <w:tcBorders>
              <w:tl2br w:val="nil"/>
              <w:tr2bl w:val="nil"/>
            </w:tcBorders>
            <w:noWrap/>
            <w:vAlign w:val="center"/>
          </w:tcPr>
          <w:p>
            <w:pPr>
              <w:widowControl/>
              <w:spacing w:line="42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42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会费基本服务项目</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□会费基本服务项目清晰列出的，得5分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注：未设分支机构的不扣分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17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分支机构财务管理</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管理制度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□制定有分支机构财务专项管理办法，得2分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管理情况</w:t>
            </w:r>
            <w:r>
              <w:rPr>
                <w:rStyle w:val="6"/>
                <w:rFonts w:ascii="黑体" w:hAnsi="黑体" w:eastAsia="黑体" w:cs="黑体"/>
                <w:b w:val="0"/>
                <w:bCs w:val="0"/>
                <w:color w:val="auto"/>
                <w:kern w:val="0"/>
                <w:sz w:val="18"/>
                <w:szCs w:val="18"/>
              </w:rPr>
              <w:footnoteReference w:id="6"/>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查看分支机构财务管理、监督、核算情况</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分支机构的经济活动开展情况：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□分支机构的所有经济活动均在本部批准或授权的范围内开展，如：未独立收取会费、无对外投资、未开设银行账户等，得4分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□分支机构的经济活动未全部在本部批准或授权的范围内开展，得0分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对分支机构财务监管情况：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□履行了对分支机构的监督和管理职责，建立的分支机构的会计核算办法和财务管理制度得到有效执行，得4分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□未履行对分支机构的监督和管理职责，未建立分支机构的会计核算办法和财务管理制度，得0分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注1：未设分支机构的不扣分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注2：四级指标管理情况得分=分支机构的经济活动开展情况得分+对分支机构财务监管情况得分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税收和票据</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纳税管理</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查看纳税登记办理、纳税申报、缴纳和核算情况</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税务登记情况：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□按规定办理税务登记、变更手续，得3分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□未按规定办理税务登记、变更手续，得0分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各项税款申报、缴纳情况：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□按规定向税务部门申报、缴纳，得3分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□未按规定申报、缴纳，得0分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注：四级指标纳税管理得分=税务登记情况得分+各项税款申报、缴纳情况</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票据管理</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查看发票、会费收据、捐赠专用收据、银行收据的购买、使用情况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□未发现使用不合规票据作为报销凭证，得5分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□发现使用不合规票据作为报销凭证，得0分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b w:val="0"/>
                <w:bCs w:val="0"/>
                <w:color w:val="auto"/>
              </w:rPr>
              <w:t>※</w:t>
            </w:r>
            <w:r>
              <w:rPr>
                <w:rFonts w:hint="eastAsia" w:ascii="黑体" w:hAnsi="黑体" w:eastAsia="黑体" w:cs="黑体"/>
                <w:b w:val="0"/>
                <w:bCs w:val="0"/>
                <w:color w:val="auto"/>
                <w:kern w:val="0"/>
                <w:sz w:val="18"/>
                <w:szCs w:val="18"/>
              </w:rPr>
              <w:t>会费收据使用</w:t>
            </w:r>
            <w:r>
              <w:rPr>
                <w:rStyle w:val="6"/>
                <w:rFonts w:ascii="黑体" w:hAnsi="黑体" w:eastAsia="黑体" w:cs="黑体"/>
                <w:b w:val="0"/>
                <w:bCs w:val="0"/>
                <w:color w:val="auto"/>
                <w:kern w:val="0"/>
                <w:sz w:val="18"/>
                <w:szCs w:val="18"/>
              </w:rPr>
              <w:footnoteReference w:id="7"/>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查看会费收据存根、并对比会费标准与账面体现的会费收取情况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□未发现存在使用会费专用收据收取其他业务收入（例如：会议费、培训、展览、赞助、课题等）情况，得5分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□发现存在使用会费专用收据收取其他业务收入，得0分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183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捐赠票据使用</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查看领购、使用、管理捐赠票据方面的相关资料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□捐赠票据领购、使用规范，得3分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注：未发生使用捐赠票据情形的，得满分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财务报告制度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□理事会按规定每年向或会员（会员代表）大会报告财务状况，得5分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□理事会每年只向会员（会员代表）大会报告会费收取及使用情况，得3分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□理事会未按规定向会员（会员代表）大会报告财务状况，得0分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财务报告编制</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查看上年度的财务报告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□年度财务报告内容完备，得5分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□年度财务报告内容不完备，得2分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□无年度财务报告，得0分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年度财务报告包括审计报告及报表、报表附注、财务情况说明书等内容。财务情况说明书应包括业务及财务活动基本情况，如资产状况和财务收支情况，上一年度工作计划或预算完成情况及差异分析，下一年度计划及预算、财务管理状况及存在的问题、对社团有重大影响的其他事项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37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关联方及关联交易管理</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关联方及关联交易管理制度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社会团体关联方及关联交易管理制度，检查社会团体是否建立了关联方及关联交易管理制度，所建立制度内容是否全面，是否明确关联交易的批准程序、应禁止的关联交易的种类、关联方及关联交易披露的要求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口制定了关联方管理制度，内容全面，得3分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口制定了关联方管理制度，但内容不全面，得1分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口未制定关联方管理制度，得0分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注：1．关联方主要包括：（1）发起人（2）社会团体理事主要来源单位</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2、关联交易是指社会团体与上述个人或组织发生的交易。</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关联交易管理</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根据上述关联方及关联交易说明，查看社会团体账簿、审计报告及其他资料，了解社会团体与关联方发生交易情况，判断是与关联方发生的交易是否公允，检查社会团体是否存在以下禁止发生的关联交易行为：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（1）承担了应归属于关联方的成本或费用；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（2）为关联方开具没有真实交易背景的商业承兑汇票；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（3）代关联方承担或偿还债务；</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（4）为关联方提供担保；</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（5）其他损害社会团体利益的交易行为；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口未发现存在以上禁止行为，得3分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口关联交易的发生经理事会审批，未发现存在关联方资金占用或有失公允的关联交易情况，得2分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口发现存在以上禁止行为，或关联交易的发生未经理事会审批，发现存在关联方资金占用或有失公允的关联交易情况，得0分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注1：有失公允的关联交易及关联方占用资金，包括但不限于：</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（1）以高于公允价值的价格向关联方购买物资、服务、租赁、许可协议等；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（2）以低于公允价值的价格向关联方出售物资、服务、租赁、许可协议等；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（3）明显低于市场正常收益水平或无偿地将资金拆借给关联方使用；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（4）接受关联方捐赠的价值不公允的非货币资产；</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关联方及关联交易披露</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查看社会团体关联方及关联交易披露情况，判断社会团体的关联方及关联交易信息是否得到充分披露。</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口在年度工作报告、网站或其他媒体上披露了关联方及关联交易，且披露事项及内容完整，得3分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口在年度工作报告、网站或其他媒体上披露了关联方及关联交易，但披露事项或内容不完整，得1分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口未在年度工作报告、网站或其他媒体上披露关联方及关联交易，得0分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财务监督</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监督制度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□制定有财务监督制度，得2分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监事监督</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□投资活动、年度经费收支预估算情况接受理事、监事、捐款人的监督，得3分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财务报表审计</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查看上两个年度的年度审计报报</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□能提供近2年2个年度审计报告，得3分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□不能提供近2年审计报告，得0分 </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换届、离任审计</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查看最近一届离任或换届审计报告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□最近一届法人离任或换届按要求进行财务审计或未发生换届或离任行为，得3分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□未按要求进行法人离任或换届财务审计，得0分</w:t>
            </w:r>
          </w:p>
        </w:tc>
        <w:tc>
          <w:tcPr>
            <w:tcW w:w="661" w:type="dxa"/>
            <w:tcBorders>
              <w:tl2br w:val="nil"/>
              <w:tr2bl w:val="nil"/>
            </w:tcBorders>
            <w:noWrap/>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3"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工作绩效（323分）</w:t>
            </w: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提供服务</w:t>
            </w: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服务会员</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会员管理</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□会员数据库项目设置科学、规范、齐全，能依据入会、退会和会费缴纳情况及时更新相关信息，得10分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口会员数据库项目设置科学、规范、齐全，但不能及时更新相关信息，得6分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口建立了简单会员数据库，得3分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□未建立会员数据库，得0分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会费收缴情况</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□落实国家“六稳”“六保”相关政策，实行会费减免，得10分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开展专业性活动</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查看2018年、2019年、2020年专业性活动记录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行业活动包括交易会、展览会、研讨会等。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□每场专业性活动5分，满分15分。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组织培训</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查看上2018年、2019年、2020年组织继续教育及培训活动相关资料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每年均制定培训计划，有专门机构和人员，培训类型多样，培训人数达到一定规模。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口具备以上全部情形，得10分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口具备以上情形中的三项，得8分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口具备以上情形中的二项，得6分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口具备以上情形中的一项，得4分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口有材料证明开展过少量培训活动，得2分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口没有开展过培训，得0分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提供咨询</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9"/>
                <w:rFonts w:ascii="黑体" w:hAnsi="黑体" w:eastAsia="黑体" w:cs="黑体"/>
                <w:b w:val="0"/>
                <w:bCs w:val="0"/>
                <w:color w:val="auto"/>
                <w:sz w:val="18"/>
                <w:szCs w:val="18"/>
              </w:rPr>
              <w:t xml:space="preserve">□提供技术、经济、管理、法律咨询等事项1次2分，共计10分。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注：咨询项目必须提供合同或正式文件。</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会员表彰活动</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查看2018年、2019年、2020年专业人才表彰相关材料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□有明确的评比流程并按计划开展评比达标表彰活动，3次及以上，得20分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□有明确的评比流程并按计划开展评比达标表彰活动，2次，得10分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□无明确的评比流程并按计划开展评比达标表彰活动，得0分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提供交流平台</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9"/>
                <w:rFonts w:ascii="黑体" w:hAnsi="黑体" w:eastAsia="黑体" w:cs="黑体"/>
                <w:b w:val="0"/>
                <w:bCs w:val="0"/>
                <w:color w:val="auto"/>
                <w:sz w:val="18"/>
                <w:szCs w:val="18"/>
              </w:rPr>
              <w:t>□积极为会员搭建交流平台，提供信息交流、共享服务，并取得显著效益，得12分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□为会员搭建交流平台或提供信息交流、共享服务，并取得一定效益，得8分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□未曾为行业、会员搭建信息交流平台，得0分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注1：显著效益需提供相关行业、会员因交流平台而取得的收益证明。</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代表会员参加与协商谈判</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□代表本行业参与协商谈判1次5分，满分10分。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品牌建设</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9"/>
                <w:rFonts w:ascii="黑体" w:hAnsi="黑体" w:eastAsia="黑体" w:cs="黑体"/>
                <w:b w:val="0"/>
                <w:bCs w:val="0"/>
                <w:color w:val="auto"/>
                <w:sz w:val="18"/>
                <w:szCs w:val="18"/>
              </w:rPr>
              <w:t xml:space="preserve">□组织相关业务活动制度化，并效益显著，得20分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□组织相关业务活动制度化，效益良好，得10分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□组织相关业务活动未常态化、制度化，得0分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注1：制度化指组织业务活动持续三年以上，且活动人数在50人以上。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服务政府</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参与政策制定</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□参与过制定法规政策或者参加政府听证会、座谈会等1次2分，满分8分。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反映会员利益</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□代表会员向政府部门反映涉及会员相关利益1次2分，满分10分。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承接政府项目</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9"/>
                <w:rFonts w:ascii="黑体" w:hAnsi="黑体" w:eastAsia="黑体" w:cs="黑体"/>
                <w:b w:val="0"/>
                <w:bCs w:val="0"/>
                <w:color w:val="auto"/>
                <w:sz w:val="18"/>
                <w:szCs w:val="18"/>
              </w:rPr>
              <w:t xml:space="preserve">□承接政府委托、购买、转移服务项目1项5分，满分15分。                                               </w:t>
            </w:r>
            <w:r>
              <w:rPr>
                <w:rStyle w:val="8"/>
                <w:rFonts w:ascii="黑体" w:hAnsi="黑体" w:eastAsia="黑体" w:cs="黑体"/>
                <w:b w:val="0"/>
                <w:bCs w:val="0"/>
                <w:color w:val="auto"/>
                <w:sz w:val="18"/>
                <w:szCs w:val="18"/>
              </w:rPr>
              <w:t>注：近三年承接政府项目总数。</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承接项目金额</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Style w:val="9"/>
                <w:rFonts w:ascii="黑体" w:hAnsi="黑体" w:eastAsia="黑体" w:cs="黑体"/>
                <w:b w:val="0"/>
                <w:bCs w:val="0"/>
                <w:color w:val="auto"/>
                <w:sz w:val="18"/>
                <w:szCs w:val="18"/>
              </w:rPr>
              <w:t xml:space="preserve">□承接政府项目金额10万得2分，每增加10万加2分，满分8分。                                                      </w:t>
            </w:r>
            <w:r>
              <w:rPr>
                <w:rStyle w:val="8"/>
                <w:rFonts w:ascii="黑体" w:hAnsi="黑体" w:eastAsia="黑体" w:cs="黑体"/>
                <w:b w:val="0"/>
                <w:bCs w:val="0"/>
                <w:color w:val="auto"/>
                <w:sz w:val="18"/>
                <w:szCs w:val="18"/>
              </w:rPr>
              <w:t>注：近三年承接政府项目总额。</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项目开发与 运作</w:t>
            </w: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项目管理</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项目管理制度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□建立健全了详细、科学、有效的项目管理制度，得10分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□建立了项目管理制度，但内容较为简单，得5分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□未建立项目管理制度，得0分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项目方案</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□每个项目均制定规范、详细的运作方案，得10分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□项目制定了活动计划，但内容较为简单，得5分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□项目未制定活动计划，得0分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项目合同</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□公益项目均签订合同，并严格按合同履行责任，得10分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□公益项目均签订了合同，能较好地履行合同，得5分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□公益项目为签订合同或未按合同履行责任，得0分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注：若无合同但具有法律效力的其他证明材料也可算作合同。</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18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总结评估</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□项目完成后有详细的总结和意见反馈，得10分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□项目完成后有简单的总结和意见反馈，得5分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□项目完成或无总结或意见反馈，得0分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注1：若组织未承接过任何项目，此项得满分。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项目成效</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项目适当性</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□项目符合章程规定的业务范围，得到社会的广泛认同，得10分                                                          □项目符合章程规定的业务范围，得到社会认同，得5分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□项目不符合章程规定的业务范围，得0分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项目可持续性</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□项目已经持续发展3年及以上，得10分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□项目持续发展2年及以上，得5分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□项目持续仅开展1年，得0分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22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项目效果</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□项目社会效益显著，得20分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□项目社会效益较好，得10分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□项目社会效益较小，得0分                                                                                           注1：社会效益显著可从项目受益人群、项目的持续时间、社会大众的认知度、对所关注的社会领域或社会问题产生的影响进行判断。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185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项目影响力</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□社会知名度高，获得省级以上权威媒体报道，得15分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□有一定社会影响力，获得地方媒体报道，得10分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□缺乏社会影响力或项目无知名度，得0分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自律活动（20）</w:t>
            </w: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规范行为</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会员服务标准</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□制定会员服务标准，且执行效果好，得10分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□制定会员服务标准，但执行效果一般，得5分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□未制定会员服务标准执行效果差，得0分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自律性管理活动</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□制订自律准则，且切实开展自律性管理活动，得10分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□制定自律准则，但有开展自律性管理活动，得5分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□未制定自律公约或或开展自律性管理活动，得0分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信息公开与宣传</w:t>
            </w: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平台建设</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信息平台种类</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□信息平台种类有3种或以上，得8分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□信息平台种类有2种，得6分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□信息平台种类有1种，得4分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网站报刊</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拥有自办门户网站、网页、报刊三项中：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□拥有报刊，得4分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□新闻发言人专职，得10分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□新闻发言人兼职，得5分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□无新闻发言人，得0分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公开内容</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基本信息（登记事项、章程、组织机构、负责人等）</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向社会公开基本信息（包括登记事项、章程、组织机构、负责人等）：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□登记事项，得4分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□章程，得2分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年度工作报告</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□制定有年度工作报告，得3分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财务工作报告</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□制定有年度财务工作报告，得3分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rPr>
          <w:trHeight w:val="105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收费信息制度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□有明确收费信息制度且收费信息制度透明，得6分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4"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7" w:hRule="atLeast"/>
        </w:trPr>
        <w:tc>
          <w:tcPr>
            <w:tcW w:w="753" w:type="dxa"/>
            <w:vMerge w:val="restart"/>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社会责任（100分）</w:t>
            </w:r>
          </w:p>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服务社会</w:t>
            </w:r>
          </w:p>
        </w:tc>
        <w:tc>
          <w:tcPr>
            <w:tcW w:w="1137" w:type="dxa"/>
            <w:tcBorders>
              <w:tl2br w:val="nil"/>
              <w:tr2bl w:val="nil"/>
            </w:tcBorders>
            <w:noWrap w:val="0"/>
            <w:vAlign w:val="center"/>
          </w:tcPr>
          <w:p>
            <w:pPr>
              <w:widowControl/>
              <w:shd w:val="clear" w:color="auto" w:fill="FFFFFF"/>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突发事件处理</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在重大突发事件中发挥作用情况</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□结合业务特点，利用专业优势参与救援，或在突发公共事件中进行解疑释惑、科普宣传，资金、物资捐赠等工作的，得15分</w:t>
            </w:r>
          </w:p>
          <w:p>
            <w:pPr>
              <w:widowControl/>
              <w:spacing w:line="58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□否则，得0分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1971" w:hRule="atLeast"/>
        </w:trPr>
        <w:tc>
          <w:tcPr>
            <w:tcW w:w="753"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服务民生</w:t>
            </w:r>
          </w:p>
        </w:tc>
        <w:tc>
          <w:tcPr>
            <w:tcW w:w="1724" w:type="dxa"/>
            <w:tcBorders>
              <w:tl2br w:val="nil"/>
              <w:tr2bl w:val="nil"/>
            </w:tcBorders>
            <w:noWrap w:val="0"/>
            <w:vAlign w:val="center"/>
          </w:tcPr>
          <w:p>
            <w:pPr>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利用自身优势服务社区居民或社会公众，救助弱势群体</w:t>
            </w:r>
          </w:p>
        </w:tc>
        <w:tc>
          <w:tcPr>
            <w:tcW w:w="7620" w:type="dxa"/>
            <w:tcBorders>
              <w:tl2br w:val="nil"/>
              <w:tr2bl w:val="nil"/>
            </w:tcBorders>
            <w:noWrap w:val="0"/>
            <w:vAlign w:val="center"/>
          </w:tcPr>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□利用自身优势，服务社区居民或社会公众的，救助弱势群体，制定公益活动计划、公益活动支出情况、公益活动开展情况,，得15分</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□未开展相关公益活动和服务，得0分</w:t>
            </w:r>
          </w:p>
        </w:tc>
        <w:tc>
          <w:tcPr>
            <w:tcW w:w="661" w:type="dxa"/>
            <w:tcBorders>
              <w:tl2br w:val="nil"/>
              <w:tr2bl w:val="nil"/>
            </w:tcBorders>
            <w:noWrap w:val="0"/>
            <w:vAlign w:val="center"/>
          </w:tcPr>
          <w:p>
            <w:pPr>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3"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1137"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1724" w:type="dxa"/>
            <w:tcBorders>
              <w:tl2br w:val="nil"/>
              <w:tr2bl w:val="nil"/>
            </w:tcBorders>
            <w:noWrap w:val="0"/>
            <w:vAlign w:val="center"/>
          </w:tcPr>
          <w:p>
            <w:pPr>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利用组织优势参与社会治理</w:t>
            </w:r>
          </w:p>
        </w:tc>
        <w:tc>
          <w:tcPr>
            <w:tcW w:w="7620" w:type="dxa"/>
            <w:tcBorders>
              <w:tl2br w:val="nil"/>
              <w:tr2bl w:val="nil"/>
            </w:tcBorders>
            <w:noWrap w:val="0"/>
            <w:vAlign w:val="center"/>
          </w:tcPr>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□在巩固脱贫攻坚成果、参与乡村振兴、城乡社区治理等服务方面，积极参与发挥重要作用，得15分</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□未参与或承担社会责任，得0分。</w:t>
            </w:r>
          </w:p>
        </w:tc>
        <w:tc>
          <w:tcPr>
            <w:tcW w:w="661" w:type="dxa"/>
            <w:tcBorders>
              <w:tl2br w:val="nil"/>
              <w:tr2bl w:val="nil"/>
            </w:tcBorders>
            <w:noWrap w:val="0"/>
            <w:vAlign w:val="center"/>
          </w:tcPr>
          <w:p>
            <w:pPr>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1910" w:hRule="atLeast"/>
        </w:trPr>
        <w:tc>
          <w:tcPr>
            <w:tcW w:w="753"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1137" w:type="dxa"/>
            <w:tcBorders>
              <w:tl2br w:val="nil"/>
              <w:tr2bl w:val="nil"/>
            </w:tcBorders>
            <w:noWrap w:val="0"/>
            <w:vAlign w:val="center"/>
          </w:tcPr>
          <w:p>
            <w:pPr>
              <w:widowControl/>
              <w:shd w:val="clear" w:color="auto" w:fill="FFFFFF"/>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跟随政府指引</w:t>
            </w:r>
          </w:p>
        </w:tc>
        <w:tc>
          <w:tcPr>
            <w:tcW w:w="1724" w:type="dxa"/>
            <w:tcBorders>
              <w:tl2br w:val="nil"/>
              <w:tr2bl w:val="nil"/>
            </w:tcBorders>
            <w:noWrap w:val="0"/>
            <w:vAlign w:val="center"/>
          </w:tcPr>
          <w:p>
            <w:pPr>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w:t>
            </w:r>
          </w:p>
        </w:tc>
        <w:tc>
          <w:tcPr>
            <w:tcW w:w="7620" w:type="dxa"/>
            <w:tcBorders>
              <w:tl2br w:val="nil"/>
              <w:tr2bl w:val="nil"/>
            </w:tcBorders>
            <w:noWrap w:val="0"/>
            <w:vAlign w:val="center"/>
          </w:tcPr>
          <w:p>
            <w:pPr>
              <w:spacing w:line="58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□围绕政府中心工作发挥作用，社会效应显著的，得15分</w:t>
            </w:r>
          </w:p>
          <w:p>
            <w:pPr>
              <w:spacing w:line="58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□社会效应不明显，不得分</w:t>
            </w:r>
          </w:p>
        </w:tc>
        <w:tc>
          <w:tcPr>
            <w:tcW w:w="661" w:type="dxa"/>
            <w:tcBorders>
              <w:tl2br w:val="nil"/>
              <w:tr2bl w:val="nil"/>
            </w:tcBorders>
            <w:noWrap w:val="0"/>
            <w:vAlign w:val="center"/>
          </w:tcPr>
          <w:p>
            <w:pPr>
              <w:spacing w:line="58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2250" w:hRule="atLeast"/>
        </w:trPr>
        <w:tc>
          <w:tcPr>
            <w:tcW w:w="753"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公众意识</w:t>
            </w:r>
          </w:p>
        </w:tc>
        <w:tc>
          <w:tcPr>
            <w:tcW w:w="1137" w:type="dxa"/>
            <w:tcBorders>
              <w:tl2br w:val="nil"/>
              <w:tr2bl w:val="nil"/>
            </w:tcBorders>
            <w:noWrap w:val="0"/>
            <w:vAlign w:val="center"/>
          </w:tcPr>
          <w:p>
            <w:pPr>
              <w:widowControl/>
              <w:shd w:val="clear" w:color="auto" w:fill="FFFFFF"/>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w:t>
            </w:r>
          </w:p>
        </w:tc>
        <w:tc>
          <w:tcPr>
            <w:tcW w:w="17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安全和后勤保障</w:t>
            </w:r>
          </w:p>
        </w:tc>
        <w:tc>
          <w:tcPr>
            <w:tcW w:w="7620" w:type="dxa"/>
            <w:tcBorders>
              <w:tl2br w:val="nil"/>
              <w:tr2bl w:val="nil"/>
            </w:tcBorders>
            <w:noWrap w:val="0"/>
            <w:vAlign w:val="center"/>
          </w:tcPr>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举行重大活动中：</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□有安全和后勤保障完整方案，得4分</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□有活动相关许可文件，得3分</w:t>
            </w:r>
          </w:p>
          <w:p>
            <w:pPr>
              <w:spacing w:line="58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□志愿义工有安全责任险等，得3分</w:t>
            </w:r>
          </w:p>
        </w:tc>
        <w:tc>
          <w:tcPr>
            <w:tcW w:w="661"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2250" w:hRule="atLeast"/>
        </w:trPr>
        <w:tc>
          <w:tcPr>
            <w:tcW w:w="753"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1137" w:type="dxa"/>
            <w:tcBorders>
              <w:tl2br w:val="nil"/>
              <w:tr2bl w:val="nil"/>
            </w:tcBorders>
            <w:noWrap w:val="0"/>
            <w:vAlign w:val="center"/>
          </w:tcPr>
          <w:p>
            <w:pPr>
              <w:widowControl/>
              <w:shd w:val="clear" w:color="auto" w:fill="FFFFFF"/>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其它</w:t>
            </w:r>
          </w:p>
        </w:tc>
        <w:tc>
          <w:tcPr>
            <w:tcW w:w="17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倡导会员履行社会责任，利用行业优势服务社会公众</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□能提供多次倡导会员履行社会责任，利用行业优势服务社会公众的证明材料且社会反响较好、社会效应显著，得10分</w:t>
            </w:r>
          </w:p>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□未倡导会员履行社会责任或服务社会公众，得0分</w:t>
            </w:r>
          </w:p>
        </w:tc>
        <w:tc>
          <w:tcPr>
            <w:tcW w:w="661"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2" w:hRule="atLeast"/>
        </w:trPr>
        <w:tc>
          <w:tcPr>
            <w:tcW w:w="753" w:type="dxa"/>
            <w:vMerge w:val="continue"/>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kern w:val="0"/>
                <w:sz w:val="18"/>
                <w:szCs w:val="18"/>
              </w:rPr>
            </w:pPr>
          </w:p>
        </w:tc>
        <w:tc>
          <w:tcPr>
            <w:tcW w:w="870"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公益活动</w:t>
            </w:r>
          </w:p>
        </w:tc>
        <w:tc>
          <w:tcPr>
            <w:tcW w:w="1137" w:type="dxa"/>
            <w:tcBorders>
              <w:tl2br w:val="nil"/>
              <w:tr2bl w:val="nil"/>
            </w:tcBorders>
            <w:noWrap w:val="0"/>
            <w:vAlign w:val="center"/>
          </w:tcPr>
          <w:p>
            <w:pPr>
              <w:widowControl/>
              <w:shd w:val="clear" w:color="auto" w:fill="FFFFFF"/>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17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□每年组织或参与慈善、救助、环保等公益活动3次（含）以上，得20分</w:t>
            </w:r>
          </w:p>
          <w:p>
            <w:pPr>
              <w:widowControl/>
              <w:spacing w:line="58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□每年组织或参与慈善、救助、环保等公益活动2次，得10分</w:t>
            </w:r>
          </w:p>
          <w:p>
            <w:pPr>
              <w:widowControl/>
              <w:spacing w:line="58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□每年组织或参与慈善、救助、环保等公益活动1次，得5分</w:t>
            </w:r>
          </w:p>
          <w:p>
            <w:pPr>
              <w:spacing w:line="580" w:lineRule="exact"/>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□每年未组织或参与慈善、救助、环保等公益活动，得0分</w:t>
            </w:r>
          </w:p>
        </w:tc>
        <w:tc>
          <w:tcPr>
            <w:tcW w:w="661"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2365" w:hRule="atLeast"/>
        </w:trPr>
        <w:tc>
          <w:tcPr>
            <w:tcW w:w="753"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社会评价（100分）</w:t>
            </w: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内部评价</w:t>
            </w: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会员评价</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规范管理、民主办会、接受监督、作用发挥、会费管理、行业影响等</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会员对社团的总体评价：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255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理事评价</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规范管理、民主办会、接受监督、作用发挥、领导班子、财务公开等</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理事、常务理事对社团总体评价：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3052"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工作人员评价</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规范管理、民主办会、作用发挥、领导班子、职业发展等</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9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外部评价</w:t>
            </w: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年检情况、规范管理、作用发挥、脱贫攻坚、社会影响等</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rPr>
          <w:trHeight w:val="216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业务主管单位或党建工作机构</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规范管理、党建工作、领导班子、发挥作用、社会影响等</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业务主管单位或党建工作机构对社团总体评价：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restart"/>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其他有关部门</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违法违规失信记录</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□审计、税务、市场、公安等相关部门无违法违规失信记录，得15分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□审计、税务、市场、公安等相关部门有违法违规失信记录，得0分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注：社会组织有审计、税务、市场、公安等相关部门违法违规失信记录，不得评为3A及以上</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负责人、理事会成员违规失信记录</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□负责人（会长、监事长、副会长、秘书长）、理事会成员等，未被列入失信被执行人名单，得10分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□负责人（会长、监事长、副会长、秘书长）未被列入失信被执行人名单，但理事会成员有被列入失信被执行人名单，得5分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□负责人（会长、监事长、副会长、秘书长）被列入失信被执行人名单，得0分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注1：若会长、秘书长有被列入失信被执行人名单情况，则不能评为3A及以上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媒体机构</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对学会的非营利性、诚信、公共服务型、创新性等方面的综合评价与认可度</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2018年、2019年、2020年电视、报纸、新媒体等对协会评价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□受到媒体正面宣传报道，得10分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□未受到媒体正面或负面报道，得5分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□受到媒体负面宣传报道，得0分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3"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870" w:type="dxa"/>
            <w:vMerge w:val="continue"/>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1137"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表彰奖励情况</w:t>
            </w:r>
          </w:p>
        </w:tc>
        <w:tc>
          <w:tcPr>
            <w:tcW w:w="1724"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政府部门表彰奖励</w:t>
            </w:r>
          </w:p>
        </w:tc>
        <w:tc>
          <w:tcPr>
            <w:tcW w:w="7620" w:type="dxa"/>
            <w:tcBorders>
              <w:tl2br w:val="nil"/>
              <w:tr2bl w:val="nil"/>
            </w:tcBorders>
            <w:noWrap w:val="0"/>
            <w:vAlign w:val="center"/>
          </w:tcPr>
          <w:p>
            <w:pPr>
              <w:widowControl/>
              <w:spacing w:line="58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□受到过政府等有关部门表彰奖励2次或以上，得10分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□受到过政府等有关部门表彰奖励1次，得5分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□未受到过政府等有关部门表彰奖励，得0分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2104" w:type="dxa"/>
            <w:gridSpan w:val="5"/>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总分值合计</w:t>
            </w:r>
          </w:p>
        </w:tc>
        <w:tc>
          <w:tcPr>
            <w:tcW w:w="661" w:type="dxa"/>
            <w:tcBorders>
              <w:tl2br w:val="nil"/>
              <w:tr2bl w:val="nil"/>
            </w:tcBorders>
            <w:noWrap w:val="0"/>
            <w:vAlign w:val="center"/>
          </w:tcPr>
          <w:p>
            <w:pPr>
              <w:widowControl/>
              <w:spacing w:line="58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1000</w:t>
            </w:r>
          </w:p>
        </w:tc>
        <w:tc>
          <w:tcPr>
            <w:tcW w:w="624"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c>
          <w:tcPr>
            <w:tcW w:w="785" w:type="dxa"/>
            <w:tcBorders>
              <w:tl2br w:val="nil"/>
              <w:tr2bl w:val="nil"/>
            </w:tcBorders>
            <w:noWrap w:val="0"/>
            <w:vAlign w:val="center"/>
          </w:tcPr>
          <w:p>
            <w:pPr>
              <w:spacing w:line="580" w:lineRule="exact"/>
              <w:jc w:val="center"/>
              <w:rPr>
                <w:rFonts w:ascii="黑体" w:hAnsi="黑体" w:eastAsia="黑体" w:cs="黑体"/>
                <w:b w:val="0"/>
                <w:bCs w:val="0"/>
                <w:color w:val="auto"/>
                <w:sz w:val="18"/>
                <w:szCs w:val="18"/>
              </w:rPr>
            </w:pPr>
          </w:p>
        </w:tc>
      </w:tr>
    </w:tbl>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分数等级说明：</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val="en-US" w:eastAsia="zh-CN"/>
        </w:rPr>
        <w:t>本次社会组织等级评估总分为1000分，由评估指标表得分与评估委员会给分组成。评估指标表占评估总分的89%，折算后满分为890分。评估委员会给分占评估总分的11%，满分为110分，最终评估委员会给分为各委员给分平均分。</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社会组织评估等级5A，指标表得分与评估委员会给分总分900分以上（含900分）</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社会组织评估等级4A，指标表得分与评估委员会给分总分800-899分（含800分）</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社会组织评估等级3A，指标表得分与评估委员会给分总分700-799分（含700分）</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社会组织评估等级2A，指标表得分与评估委员会给分总分650-699分（含650分）</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社会组织评估等级1A，指标表得分与评估委员会给分总分600-649分（含600分）</w:t>
      </w:r>
    </w:p>
    <w:p>
      <w:pPr>
        <w:spacing w:line="58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本次评估等级有效期5年，本年评估等级未达到3A，下一年度不可再参加评估，需等5年有效期过后才能重新参加评估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小标宋">
    <w:altName w:val="苹方-简"/>
    <w:panose1 w:val="03000509000000000000"/>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6"/>
        </w:rPr>
        <w:footnoteRef/>
      </w:r>
      <w:r>
        <w:t xml:space="preserve"> </w:t>
      </w:r>
      <w:r>
        <w:rPr>
          <w:rFonts w:hint="eastAsia"/>
        </w:rPr>
        <w:t>※标识指示为重点考察指标</w:t>
      </w:r>
    </w:p>
  </w:footnote>
  <w:footnote w:id="1">
    <w:p>
      <w:pPr>
        <w:pStyle w:val="4"/>
        <w:rPr>
          <w:rFonts w:hint="eastAsia"/>
        </w:rPr>
      </w:pPr>
      <w:r>
        <w:rPr>
          <w:rStyle w:val="6"/>
        </w:rPr>
        <w:footnoteRef/>
      </w:r>
      <w:r>
        <w:t xml:space="preserve"> </w:t>
      </w:r>
      <w:r>
        <w:rPr>
          <w:rFonts w:hint="eastAsia"/>
        </w:rPr>
        <w:t>※标识指示为重点考察指标</w:t>
      </w:r>
    </w:p>
  </w:footnote>
  <w:footnote w:id="2">
    <w:p>
      <w:pPr>
        <w:pStyle w:val="4"/>
        <w:rPr>
          <w:rFonts w:hint="eastAsia"/>
        </w:rPr>
      </w:pPr>
      <w:r>
        <w:rPr>
          <w:rStyle w:val="6"/>
        </w:rPr>
        <w:footnoteRef/>
      </w:r>
      <w:r>
        <w:t xml:space="preserve"> </w:t>
      </w:r>
      <w:r>
        <w:rPr>
          <w:rFonts w:hint="eastAsia"/>
        </w:rPr>
        <w:t>※标识指示为重点考察指标</w:t>
      </w:r>
    </w:p>
  </w:footnote>
  <w:footnote w:id="3">
    <w:p>
      <w:pPr>
        <w:pStyle w:val="4"/>
        <w:rPr>
          <w:rFonts w:hint="eastAsia"/>
        </w:rPr>
      </w:pPr>
      <w:r>
        <w:rPr>
          <w:rStyle w:val="6"/>
        </w:rPr>
        <w:footnoteRef/>
      </w:r>
      <w:r>
        <w:t xml:space="preserve"> </w:t>
      </w:r>
      <w:r>
        <w:rPr>
          <w:rFonts w:hint="eastAsia"/>
        </w:rPr>
        <w:t>※标识指示为重点考察指标</w:t>
      </w:r>
    </w:p>
  </w:footnote>
  <w:footnote w:id="4">
    <w:p>
      <w:pPr>
        <w:pStyle w:val="4"/>
        <w:rPr>
          <w:rFonts w:hint="eastAsia"/>
        </w:rPr>
      </w:pPr>
      <w:r>
        <w:rPr>
          <w:rStyle w:val="6"/>
        </w:rPr>
        <w:footnoteRef/>
      </w:r>
      <w:r>
        <w:t xml:space="preserve"> </w:t>
      </w:r>
      <w:r>
        <w:rPr>
          <w:rFonts w:hint="eastAsia"/>
        </w:rPr>
        <w:t>※标识指示为重点考察指标</w:t>
      </w:r>
    </w:p>
  </w:footnote>
  <w:footnote w:id="5">
    <w:p>
      <w:pPr>
        <w:pStyle w:val="4"/>
        <w:rPr>
          <w:rFonts w:hint="eastAsia"/>
        </w:rPr>
      </w:pPr>
      <w:r>
        <w:rPr>
          <w:rStyle w:val="6"/>
        </w:rPr>
        <w:footnoteRef/>
      </w:r>
      <w:r>
        <w:t xml:space="preserve"> </w:t>
      </w:r>
      <w:r>
        <w:rPr>
          <w:rFonts w:hint="eastAsia"/>
        </w:rPr>
        <w:t>※标识指示为重点考察指标</w:t>
      </w:r>
    </w:p>
  </w:footnote>
  <w:footnote w:id="6">
    <w:p>
      <w:pPr>
        <w:pStyle w:val="4"/>
        <w:rPr>
          <w:rFonts w:hint="eastAsia"/>
        </w:rPr>
      </w:pPr>
      <w:r>
        <w:rPr>
          <w:rStyle w:val="6"/>
        </w:rPr>
        <w:footnoteRef/>
      </w:r>
      <w:r>
        <w:t xml:space="preserve"> </w:t>
      </w:r>
      <w:r>
        <w:rPr>
          <w:rFonts w:hint="eastAsia"/>
        </w:rPr>
        <w:t>※标识指示为重点考察指标</w:t>
      </w:r>
    </w:p>
  </w:footnote>
  <w:footnote w:id="7">
    <w:p>
      <w:pPr>
        <w:pStyle w:val="4"/>
        <w:rPr>
          <w:rFonts w:hint="eastAsia"/>
        </w:rPr>
      </w:pPr>
      <w:r>
        <w:rPr>
          <w:rStyle w:val="6"/>
        </w:rPr>
        <w:footnoteRef/>
      </w:r>
      <w:r>
        <w:t xml:space="preserve"> </w:t>
      </w:r>
      <w:r>
        <w:rPr>
          <w:rFonts w:hint="eastAsia"/>
        </w:rPr>
        <w:t>※标识指示为重点考察指标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FCA3C"/>
    <w:rsid w:val="4FFFC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 w:type="character" w:customStyle="1" w:styleId="8">
    <w:name w:val="font11"/>
    <w:basedOn w:val="5"/>
    <w:qFormat/>
    <w:uiPriority w:val="0"/>
    <w:rPr>
      <w:rFonts w:hint="eastAsia" w:ascii="宋体" w:hAnsi="宋体" w:eastAsia="宋体" w:cs="宋体"/>
      <w:b/>
      <w:bCs/>
      <w:color w:val="000000"/>
      <w:sz w:val="28"/>
      <w:szCs w:val="28"/>
      <w:u w:val="none"/>
    </w:rPr>
  </w:style>
  <w:style w:type="character" w:customStyle="1" w:styleId="9">
    <w:name w:val="font31"/>
    <w:basedOn w:val="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2021-08-04T14:51:00Z</dcterms:created>
  <dc:creator>xlw</dc:creator>
  <cp:lastModifiedBy>xlw</cp:lastModifiedBy>
  <dcterms:modified xsi:type="dcterms:W3CDTF">2021-08-04T14:51:05Z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