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00" w:lineRule="exact"/>
        <w:rPr>
          <w:rFonts w:hint="eastAsia" w:ascii="黑体" w:hAnsi="黑体" w:eastAsia="黑体" w:cs="黑体"/>
          <w:b w:val="0"/>
          <w:bCs/>
          <w:lang w:val="en-US" w:eastAsia="zh-CN"/>
        </w:rPr>
      </w:pPr>
      <w:r>
        <w:rPr>
          <w:rFonts w:hint="eastAsia" w:ascii="黑体" w:hAnsi="黑体" w:eastAsia="黑体" w:cs="黑体"/>
          <w:b w:val="0"/>
          <w:bCs/>
          <w:lang w:val="en-US" w:eastAsia="zh-CN"/>
        </w:rPr>
        <w:t>附件6</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876"/>
        <w:gridCol w:w="950"/>
        <w:gridCol w:w="1602"/>
        <w:gridCol w:w="7767"/>
        <w:gridCol w:w="661"/>
        <w:gridCol w:w="621"/>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4174" w:type="dxa"/>
            <w:gridSpan w:val="8"/>
            <w:tcBorders>
              <w:tl2br w:val="nil"/>
              <w:tr2bl w:val="nil"/>
            </w:tcBorders>
            <w:noWrap/>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32"/>
                <w:szCs w:val="32"/>
              </w:rPr>
              <w:t>2021年度云南省学术类社团评估指标（试行）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一级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87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二级</w:t>
            </w:r>
            <w:r>
              <w:rPr>
                <w:rFonts w:hint="eastAsia" w:ascii="黑体" w:hAnsi="黑体" w:eastAsia="黑体" w:cs="黑体"/>
                <w:b/>
                <w:bCs/>
                <w:color w:val="auto"/>
                <w:kern w:val="0"/>
                <w:sz w:val="18"/>
                <w:szCs w:val="18"/>
              </w:rPr>
              <w:br w:type="textWrapping"/>
            </w:r>
            <w:r>
              <w:rPr>
                <w:rFonts w:hint="eastAsia" w:ascii="黑体" w:hAnsi="黑体" w:eastAsia="黑体" w:cs="黑体"/>
                <w:b/>
                <w:bCs/>
                <w:color w:val="auto"/>
                <w:kern w:val="0"/>
                <w:sz w:val="18"/>
                <w:szCs w:val="18"/>
              </w:rPr>
              <w:t>指标</w:t>
            </w: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三级指标</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四级指标</w:t>
            </w:r>
          </w:p>
        </w:tc>
        <w:tc>
          <w:tcPr>
            <w:tcW w:w="776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评分说明</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总分值</w:t>
            </w:r>
          </w:p>
        </w:tc>
        <w:tc>
          <w:tcPr>
            <w:tcW w:w="62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自评分</w:t>
            </w:r>
          </w:p>
        </w:tc>
        <w:tc>
          <w:tcPr>
            <w:tcW w:w="947"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bCs/>
                <w:color w:val="auto"/>
                <w:sz w:val="18"/>
                <w:szCs w:val="18"/>
              </w:rPr>
            </w:pPr>
            <w:r>
              <w:rPr>
                <w:rFonts w:hint="eastAsia" w:ascii="黑体" w:hAnsi="黑体" w:eastAsia="黑体" w:cs="黑体"/>
                <w:b/>
                <w:bCs/>
                <w:color w:val="auto"/>
                <w:kern w:val="0"/>
                <w:sz w:val="18"/>
                <w:szCs w:val="18"/>
              </w:rPr>
              <w:t>专家评分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0" w:hRule="atLeast"/>
        </w:trPr>
        <w:tc>
          <w:tcPr>
            <w:tcW w:w="7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基础条件（95分）</w:t>
            </w: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法人资格</w:t>
            </w: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法定代表人</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任职资格符合规定</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查看法定代表人产生（变更）的会议纪要和决议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法定代表人按章程规定产生（变更），得10分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□不能正常在本会工作</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w:t>
            </w:r>
            <w:r>
              <w:rPr>
                <w:rStyle w:val="9"/>
                <w:rFonts w:hint="eastAsia" w:ascii="黑体" w:hAnsi="黑体" w:eastAsia="黑体" w:cs="黑体"/>
                <w:b w:val="0"/>
                <w:bCs w:val="0"/>
                <w:color w:val="auto"/>
                <w:sz w:val="18"/>
                <w:szCs w:val="18"/>
                <w:lang w:val="en-US" w:eastAsia="zh-CN"/>
              </w:rPr>
              <w:t>最高</w:t>
            </w:r>
            <w:r>
              <w:rPr>
                <w:rStyle w:val="9"/>
                <w:rFonts w:ascii="黑体" w:hAnsi="黑体" w:eastAsia="黑体" w:cs="黑体"/>
                <w:b w:val="0"/>
                <w:bCs w:val="0"/>
                <w:color w:val="auto"/>
                <w:sz w:val="18"/>
                <w:szCs w:val="18"/>
              </w:rPr>
              <w:t>任职年龄超过70周岁</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□违反国家法律、法规，受过剥夺政治权利的刑事处罚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□限制民事行为能力或无民事行为能力</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□会长、秘书长由同一会员单位的人员担任，或者是近亲属，或者具有其他利害关系</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□兼任其他社会团体的法定代表人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□兼任秘书长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□连续担任两届以上（若章程有特殊规定，按章程规定执行）                                                                    □法律、法规规定不得担任法定代表人的其他情形</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注：出现上述任何一种情况，此项不得分。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活动资金</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年末净资产不低于注册资金</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10"/>
                <w:rFonts w:ascii="黑体" w:hAnsi="黑体" w:eastAsia="黑体" w:cs="黑体"/>
                <w:b w:val="0"/>
                <w:bCs w:val="0"/>
                <w:color w:val="auto"/>
                <w:sz w:val="18"/>
                <w:szCs w:val="18"/>
              </w:rPr>
              <w:t>查看资产负债表中2020年末净资产数额</w:t>
            </w:r>
            <w:r>
              <w:rPr>
                <w:rStyle w:val="11"/>
                <w:rFonts w:ascii="黑体" w:hAnsi="黑体" w:eastAsia="黑体" w:cs="黑体"/>
                <w:b w:val="0"/>
                <w:bCs w:val="0"/>
                <w:color w:val="auto"/>
                <w:sz w:val="18"/>
                <w:szCs w:val="18"/>
              </w:rPr>
              <w:br w:type="textWrapping"/>
            </w:r>
            <w:r>
              <w:rPr>
                <w:rStyle w:val="11"/>
                <w:rFonts w:ascii="黑体" w:hAnsi="黑体" w:eastAsia="黑体" w:cs="黑体"/>
                <w:b w:val="0"/>
                <w:bCs w:val="0"/>
                <w:color w:val="auto"/>
                <w:sz w:val="18"/>
                <w:szCs w:val="18"/>
              </w:rPr>
              <w:t>□2020年末净资产大于等于注册资金，得15分</w:t>
            </w:r>
            <w:r>
              <w:rPr>
                <w:rStyle w:val="11"/>
                <w:rFonts w:ascii="黑体" w:hAnsi="黑体" w:eastAsia="黑体" w:cs="黑体"/>
                <w:b w:val="0"/>
                <w:bCs w:val="0"/>
                <w:color w:val="auto"/>
                <w:sz w:val="18"/>
                <w:szCs w:val="18"/>
              </w:rPr>
              <w:br w:type="textWrapping"/>
            </w:r>
            <w:r>
              <w:rPr>
                <w:rStyle w:val="11"/>
                <w:rFonts w:ascii="黑体" w:hAnsi="黑体" w:eastAsia="黑体" w:cs="黑体"/>
                <w:b w:val="0"/>
                <w:bCs w:val="0"/>
                <w:color w:val="auto"/>
                <w:sz w:val="18"/>
                <w:szCs w:val="18"/>
              </w:rPr>
              <w:t>□2020年末净资产</w:t>
            </w:r>
            <w:r>
              <w:rPr>
                <w:rStyle w:val="11"/>
                <w:rFonts w:ascii="黑体" w:hAnsi="黑体" w:eastAsia="黑体" w:cs="黑体"/>
                <w:b w:val="0"/>
                <w:bCs w:val="0"/>
                <w:color w:val="auto"/>
                <w:sz w:val="18"/>
                <w:szCs w:val="18"/>
                <w:lang w:eastAsia="zh-CN"/>
              </w:rPr>
              <w:t>不</w:t>
            </w:r>
            <w:r>
              <w:rPr>
                <w:rStyle w:val="11"/>
                <w:rFonts w:ascii="黑体" w:hAnsi="黑体" w:eastAsia="黑体" w:cs="黑体"/>
                <w:b w:val="0"/>
                <w:bCs w:val="0"/>
                <w:color w:val="auto"/>
                <w:sz w:val="18"/>
                <w:szCs w:val="18"/>
              </w:rPr>
              <w:t>低于注册资金</w:t>
            </w:r>
            <w:r>
              <w:rPr>
                <w:rStyle w:val="11"/>
                <w:rFonts w:ascii="黑体" w:hAnsi="黑体" w:eastAsia="黑体" w:cs="黑体"/>
                <w:b w:val="0"/>
                <w:bCs w:val="0"/>
                <w:color w:val="auto"/>
                <w:sz w:val="18"/>
                <w:szCs w:val="18"/>
                <w:lang w:eastAsia="zh-CN"/>
              </w:rPr>
              <w:t>的</w:t>
            </w:r>
            <w:r>
              <w:rPr>
                <w:rStyle w:val="11"/>
                <w:rFonts w:ascii="黑体" w:hAnsi="黑体" w:eastAsia="黑体" w:cs="黑体"/>
                <w:b w:val="0"/>
                <w:bCs w:val="0"/>
                <w:color w:val="auto"/>
                <w:sz w:val="18"/>
                <w:szCs w:val="18"/>
              </w:rPr>
              <w:t>50%，得5分</w:t>
            </w:r>
            <w:r>
              <w:rPr>
                <w:rStyle w:val="11"/>
                <w:rFonts w:ascii="黑体" w:hAnsi="黑体" w:eastAsia="黑体" w:cs="黑体"/>
                <w:b w:val="0"/>
                <w:bCs w:val="0"/>
                <w:color w:val="auto"/>
                <w:sz w:val="18"/>
                <w:szCs w:val="18"/>
              </w:rPr>
              <w:br w:type="textWrapping"/>
            </w:r>
            <w:r>
              <w:rPr>
                <w:rStyle w:val="11"/>
                <w:rFonts w:ascii="黑体" w:hAnsi="黑体" w:eastAsia="黑体" w:cs="黑体"/>
                <w:b w:val="0"/>
                <w:bCs w:val="0"/>
                <w:color w:val="auto"/>
                <w:sz w:val="18"/>
                <w:szCs w:val="18"/>
              </w:rPr>
              <w:t>□</w:t>
            </w:r>
            <w:r>
              <w:rPr>
                <w:rStyle w:val="11"/>
                <w:rFonts w:hint="eastAsia" w:ascii="黑体" w:hAnsi="黑体" w:eastAsia="黑体" w:cs="黑体"/>
                <w:b w:val="0"/>
                <w:bCs w:val="0"/>
                <w:color w:val="auto"/>
                <w:sz w:val="18"/>
                <w:szCs w:val="18"/>
                <w:lang w:val="en-US" w:eastAsia="zh-CN"/>
              </w:rPr>
              <w:t>2020年末净资产低于注册资金的50%</w:t>
            </w:r>
            <w:r>
              <w:rPr>
                <w:rStyle w:val="11"/>
                <w:rFonts w:ascii="黑体" w:hAnsi="黑体" w:eastAsia="黑体" w:cs="黑体"/>
                <w:b w:val="0"/>
                <w:bCs w:val="0"/>
                <w:color w:val="auto"/>
                <w:sz w:val="18"/>
                <w:szCs w:val="18"/>
              </w:rPr>
              <w:t>，得0分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名称牌匾与登记证书悬挂情况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□有名称牌匾悬挂于办公场所外，且登记证书悬挂于办公场所内，得5分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□未按要求悬挂名称牌匾或登记证书，得0分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住所</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有独立的办公用房</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查看办公场所相关证明材料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□自有产权，提供产权证明，得10分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□租赁提供租赁合同或无偿使用，独立办公，得8分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□与其他单位合署办公或其他情况，得0分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□主要办事机构所在地与住所地一致，得5分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章程制定（修订）程序符合规定</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查看制定或修改章程的会议纪要或决议</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□2/3以上会员（会员代表）出席会员（会员代表）大会，到会人员半数以上表决通过，表决方式为无记名方式，能提供会议纪要或决议，并有相应的档案痕迹资料（签到表、议程、修改说明），得10分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□2/3以上会员（会员代表）出席会员（会员代表）大会，到会人员半数以上表决通过，举手表决的，能提供会议纪要或决议，并有相应的档案痕迹资料（签到表、议程、修改说明），得5分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□无会议纪要，或其他表决形式的，得0分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章程修订后履行核准程序</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查看章程核准材料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□盖有登记管理机关章程核准章的章程，得10分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□不能提供盖有登记管理机关章程核准章的章程，得0分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注：修改章程应当报登记管理机关核准，正在办理过程中视为章程按规定核准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登记和备案</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名称、业务范围、住所、注册资金、法定代表人、业务主管单位等按规定办理变更登记</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查看变更登记材料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□变更事项按规定和时限办理变更登记手续，得8分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□变更事项超过30日办理的或正在办理变更但提交时限已超过30日，得5分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□名称、业务范围、住所、注册资金、法定代表人、业务主管单位等，其中有一项变更但未按规定办理变更手续，得0分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注1：未发生变更的得满分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按规定办理备案</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查看备案材料</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负责人（会长、监事长、副会长、秘书长）备案情况：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□理事、常务理事、负责人、名誉职务按干管权限规定履行报批手续，得4分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□理事、常务理事、负责人、名誉职务未按干管权限规定履行报批手续，得0分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会费标准执行情况</w:t>
            </w:r>
            <w:r>
              <w:rPr>
                <w:rStyle w:val="9"/>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□在章程中载明会费标准，且不超过4档，得4分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□在章程中未载明会费标准，或超过4档，得0分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注：如已执行会费标准为四挡的提供佐证材料    </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 xml:space="preserve">其他备案情况（例如：印章、银行账户）：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□按规定办理印章备案手续，得2分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□按规定办理银行账户备案手续，得2分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□其他未按规定办理备案手续，得0分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注1：此处计分方式为：负责人备案情况4分+会费标准执行情况4分+其他备案情况4分=12分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注2：其他备案情况计分方式为累加计分：印章备案2分+银行账户备案2分=4分  </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12</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年检结论</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查看登记证书年检记录</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□2018年与2019年两年的年检结论都合格，得10分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□2018年、2019年中任一年份年检结论为基本合格，得2分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0" w:hRule="atLeast"/>
        </w:trPr>
        <w:tc>
          <w:tcPr>
            <w:tcW w:w="7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内部治理（382分）</w:t>
            </w: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组织机构</w:t>
            </w: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发展规划</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发展规划制定情况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届内发展规划制定</w:t>
            </w:r>
            <w:r>
              <w:rPr>
                <w:rStyle w:val="9"/>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□有单独详尽的发展规划，得2分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□发展规划制定一般或不太详尽，得1分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□未制定发展规划，得0分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发展规划落实：</w:t>
            </w:r>
            <w:r>
              <w:rPr>
                <w:rStyle w:val="9"/>
                <w:rFonts w:ascii="黑体" w:hAnsi="黑体" w:eastAsia="黑体" w:cs="黑体"/>
                <w:b w:val="0"/>
                <w:bCs w:val="0"/>
                <w:color w:val="auto"/>
                <w:sz w:val="18"/>
                <w:szCs w:val="18"/>
              </w:rPr>
              <w:t xml:space="preserve">                                                                                     □落实规划情况很好，得3分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□落实规划情况一般，得1分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□规划未落实，得0分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注1：将发展规划内容与相关业务活动相对照</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注2：四级指标发展规划制定情况得分</w:t>
            </w:r>
            <w:r>
              <w:rPr>
                <w:rStyle w:val="8"/>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t>届内发展规划制定得分+发展规划落实</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注3：五级指标届内发展规划制定、发展规划落实计分方式为等级制计分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会员（代表）大会</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会议准备及召开程序符合章程规定</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查看本届会员（会员代表）大会的会议纪要、决议及相关材料</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□按时召开会员（会员代表）大会，2/3以上会员（会员代表）出席，决议经到会人员半数以上表决通过，并制定了详细的会议方案，相关材料详细全面，得8分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□按时召开会员（会员代表）大会，2/3以上会员（会员代表）出席，决议经到会人员半数以上表决通过，会议方案不够详细，相关材料不够详细全面，得6分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□按时召开会员（会员代表）大会，2/3以上会员（会员代表）出席，决议经到会人员半数以上表决通过，会议方案不详细，相关材料不详细全面，得4分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□按时召开会员（会员代表）大会，2/3以上会员（会员代表）出席，决议经到会人员半数以上表决通过，未制定会议方案，无相关材料或不详细全面，得2分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□召开会员（会员代表）大会或全体会员（会员代表）人数和表决人数不符合规定或未按时召开会议，得0分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注：受新冠疫情影响，未召开会员（会员代表）大会的，得满分。以通讯方式表决的，此项不得分。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理事会、常务理事会</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按期换届情况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查看最近一次换届资料和相关会议纪要、决议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□理事会按期换届，得4分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□理事超期换届的，得2分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□理事会未按期换届，超期未换届，得0分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注1：提前或延期换届经登记管理机关备案视为按期换届</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理事产生及理事会召开情况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查看选举、罢免理事的会员（会员代表）大会的会议纪要和决议</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理事产生：</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□产生、罢免理事，会议出席人数和表决人数符合规定，会员或会员代表大会须全体2/3以上会员或会员代表出席，到会会员半数以上表决通过，得3分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□未按章程规定条件和程序产生、罢免理事，得0分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理事会召开：</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□理事会召开程序和次数符合章程规定，得3分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□理事会召开程序或次数不符合章程规定，得0分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 xml:space="preserve">注1：提供会议通知、签到表。  </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注2：理事会每年至少召开一次</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注3：此处四级指标理事产生及理事会召开情况得分=五级指标理事产生得分+理事会召开得分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常务理事产生及常务理事会召开情况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查看选举、罢免常务理事的理事会会议纪要和决议常务理事产生：</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□产生、罢免常务理事，会议出席人数和表决人数符合规定，理事会须全体理事2/3以上出席，全体理事半数以上表决通过，得3分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□未按章程规定条件和程序产生、罢免常务理事，得0分  </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常务理事会召开：</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□常务理事会召开程序和次数符合章程规定，得3分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□常务理事会召开程序或次数不符合章程规定，得0分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注1：提供会议通知、签到表。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注2：常务理事会至少每半年召开一次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注3：此处四级指标常务理事产生及常务理事会召开情况得分=五级指标常务理事产生得分+常务理事会召开得分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注4：未设常务理事会的，常务理事产生、罢免和常务理事会召开情况。</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会议纪要规范</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查看会议纪要</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□（常务）理事会有详细会议纪要，得4分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□有召开（常务）理事会会议的会议纪要但不详细、规范，得2分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□无会议纪要，得0分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注1：提供会议纪要</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理事会（常务理事会）按章程履行职权</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查看会议纪要与章程</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□理事会、常务理事会表决事项与章程规定职权一致且有理事会、常务理事会相关制度，得5分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□理事会、常务理事会表决事项与章程规定职权一致但没有有理事会、常务理事会相关制度，得3分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□理事会、常务理事会有越权行为或采用其他形式（例如：会长办公会）代替理事会、常务理事会，得0分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理事会、常务理事会的越权行为主要包括：常务理事由常务理事会产生、罢免，理事会、常务理事会通过修改章程、修改会费标准和产生、罢免理事等决议，对照章程查看。未设立常务理事会的，常务理事会指标得满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监事或监事会</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设立情况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□按章程设立监事会、监事，选举产生监事、监事长，且监事、监事长与理事以上人员无近亲属关系，监事不得是财务或理事，得2分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□未设立监事，得0分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作用发挥</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□监事列席理事会（常务理事会）、会员（会员代表）大会，按照章程召开监事会，形成会议纪要和监事会报告并盖公章，得2分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□监事列席理事会（常务理事会）、会员（会员代表）大会，按照章程召开监事会，形成会议纪要并盖公章，未形成监事会报告，得1分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□监事未列席理事会（常务理事会）、会员（会员代表）大会，未按照章程召开监事会，未形成会议纪要，未形成监事会报告，得0分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民主决策</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会员（会员代表）大会表决事项及表决形式</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查看会员（会员代表）大会表决事项会议纪要、民主决策相关证明材料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□会员（会员代表）大会按照章程召开会议并进行表决，得7分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□制定、修改章程、会费标准，选举、罢免理事、会长、副会长、秘书长（适用于选举产生秘书长），不以无记名投票表决的，得0分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□民主决策不符合章程规定，得0分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负责人产生选举形式及表决形式</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查看负责人产生会议纪要、决议</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负责人选举形式：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□负责人的产生选举形式符合章程规定，得3分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□负责人的产生选举形式不符合章程规定，得0分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查看负责人产生会议纪要、决议</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负责人选举表决形式：</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□以无记名投票表决的，得3分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□以举手表决的，得1分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□不符合要求的，得0分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分支（代表）机构</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设立程序符合规定</w:t>
            </w:r>
            <w:r>
              <w:rPr>
                <w:rStyle w:val="6"/>
                <w:rFonts w:ascii="黑体" w:hAnsi="黑体" w:eastAsia="黑体" w:cs="黑体"/>
                <w:b w:val="0"/>
                <w:bCs w:val="0"/>
                <w:color w:val="auto"/>
                <w:kern w:val="0"/>
                <w:sz w:val="18"/>
                <w:szCs w:val="18"/>
              </w:rPr>
              <w:footnoteReference w:id="0"/>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查看分支（代表）机构设立记录等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□未设立分支（代表）机构，得3分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□按照章程规定，经理事会或常务理事会决定设立分支（代表）机构，得3分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□未按章程规定程序设立分支（代表）机构，得0分                                                </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注：不得设置地域性分支（代表）机构，否则不得分。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名称使用符合规定</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□未设立分支（代表）机构，得2分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□分支（代表）机构名称使用符合规定，得2分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制定管理办法</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□未设立分支（代表）机构，得2分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□有分支（代表）机构管理办法、分支（代表）机构工作计划、总结，得2分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□未制定分支（代表）机构管理办法，分支（代表）机构工作计划、总结，得0分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管理及工作开展情况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查看分支（代表）机构活动情况</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分支（代表）机构管理：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□在年度工作报告中将分支机构、代表机构名称、负责人、住所、受理程序、开展活动情况报送登记管理机关，接受年度检查，得3分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□未在年度工作报告中将分支机构、代表机构名称、负责人、住所、受理程序、开展活动情况报送登记管理机关，接受年度检查，得0分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分支（代表）机构工作开展情况：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□分支（代表）机构根据社会团体授权开展活动、发展会员，得2分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□分支（代表）机构未经授权发展会员或分支（代表）机构开展活动时未冠以学会名称，得0分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□分支（代表）机构疏于管理，得0分   </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注：四级指标管理及工作开展情况得分=五级指标分支（代表）机构管理得分+ 分支（代表）机构工作开展情况得分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党建工作</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党的建设和社会主义核心价值观写入章程</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将党的建设相关内容写入章程</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查看章程</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□将党的建设相关内容写入章程，得10分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社会主义核心价值观写入章程</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□将社会主义核心价值观内容写入章程，得10分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党组织建立情况</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党组织建立情况</w:t>
            </w:r>
            <w:r>
              <w:rPr>
                <w:rStyle w:val="6"/>
                <w:rFonts w:ascii="黑体" w:hAnsi="黑体" w:eastAsia="黑体" w:cs="黑体"/>
                <w:b w:val="0"/>
                <w:bCs w:val="0"/>
                <w:color w:val="auto"/>
                <w:kern w:val="0"/>
                <w:sz w:val="18"/>
                <w:szCs w:val="18"/>
              </w:rPr>
              <w:footnoteReference w:id="1"/>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查看党组织相关材料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□设立党组织（独立党组织、联合党组织、临时党组织），且开展了党的工作的，得18分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□不具备成立党组织条件的，但开展了党的工作的，得8分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□应建未建，得0分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□未开展党的工作一律，得0分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注1：已经建立党组织的，提供成立党组织的批复。</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注2：通过党建工作指导员开展党的工作和活动的，请提供有关部门的材料（社会组织党委办、行业指导部门等）。</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注3：不具备条件未组建党组织的，但开展了党的工作，提供党建工作台账资料。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注4：此处为等级制计分</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注5：党组织应建未建或常年不开展活动，不发挥作用的，评估时不得评为4A及以上。</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18</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党组织活动情况</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组织生活制度落实情况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查看党支部活动记录本</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□党组织制度健全，各种工作记录（包括“三会一课”记录，主题党日，组织生活会记录、民主评议党员、党支部活动记录等）内容完整，格式规范，得2分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□党组织制度不健全，各种工作记录不规范，得0分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注：不能提供独立的党支部活动记录本的得0分，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组织党员开展活动情况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□2018、2019与2020年每年组织党员开展党建活动3次及以上、学习12次，得6分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□开展党建活动2次，得4分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□开展党建活动1次，得2分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□未开展党建活动，得0得分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□开展党建活动得到省级以上宣传或表彰，提供相关材料，得4分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注1：此处为等级制计分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注2：若才成立的党组织就查看当年记录，按照当年的记录情况给分。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党组织发挥作用情况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查看党组织活动记录本、谈心谈话相关材料、荣誉证书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□将党员的教育监督管理纳入到党组织制度建设中，得5分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□党组织得到相关荣誉证书，得5分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□不符合以上要求，党员有违规违纪造成不良影响的并在等级评估中作为重要指标，得0分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注：此次为累加计分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人力资源</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党政领导干部兼任负责人情况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查看负责人简历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□理事、常务理事、负责人、名誉职务无领导干部兼任或有领导干部兼任但已按干管权限办理审批（备案）手续，得8分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□理事、常务理事、负责人、名誉职务有领导干部兼任且未按干管权限办理审批（备案）手续，得0分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三类兼职人员需按干管权限报批（备案）：1.全省所有公务员和参照公务员管理人员中担任领导职务的人员，也包括非领导职务的人员；2.全省所有国有企业、国有金融企业等单位及其内设机构和子公司的领导人员，以及列入参照公务员法管理的事业单位及其内设机构的领导人员；3.全省各级各类党政机关退（离）休干部，国有企事业单位退（离）休领导人员。</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年龄届次符合规定</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查看负责人简历</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负责人年龄符合规定：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□负责人年龄符合规定（不超过70周岁），得3分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□负责人年龄不符合规定，得0分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负责人届次符合规定：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□届次符合规定，连任届次不超过2届，得2分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注：四级指标年龄届次符合规定得分=五级指标负责人年龄符合规定得分+负责人届次符合规定得分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秘书长专职</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查看秘书长简历，是否签订劳动合同</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□秘书长为专职，得5分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□秘书长为兼职，得3分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人事管理</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专职工作人员数量</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查看人员名册、工资表、劳动合同</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□有专职工作人员大于等于3人，得7分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□有专职工作人员2人，得5分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□有专职工作人员1人，得3分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□无专职工作人员，得0分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劳动合同签订及薪酬管理</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查看劳动合同签订与薪酬管理制度</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薪酬管理</w:t>
            </w:r>
            <w:r>
              <w:rPr>
                <w:rStyle w:val="9"/>
                <w:rFonts w:ascii="黑体" w:hAnsi="黑体" w:eastAsia="黑体" w:cs="黑体"/>
                <w:b w:val="0"/>
                <w:bCs w:val="0"/>
                <w:color w:val="auto"/>
                <w:sz w:val="18"/>
                <w:szCs w:val="18"/>
              </w:rPr>
              <w:t>：</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□建立完善的薪酬管理制度并落实，得5分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□建立薪酬管理制度不够详尽或者落实不到位，得2分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□未建立薪酬管理制度，得0分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劳动合同签订：</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□与全部专职工作人员签订劳动合同，得5分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□与部分或未与专职工作人员签订劳动合同，得0分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注1：提供与专职工作人员签订的劳动合同，且信息填写完整。</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注2：四级指标劳动合同签订及薪酬管理得分=薪酬管理得分+劳动合同签订得分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注3：五级指标薪酬管理、劳动合同签订计分方式为等级制计分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组织或参加法律法规或业务培训</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查看参加社会组织相关知识培训证明材料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2018、2019、2020年参加相关政府部门组织的社会组织相关知识培训情况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□5人次或以上，得5分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□4人次，得4分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□3人次，得3分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□2人次，得2分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□1人次，得1分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□未参加过培训，得0分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社会保险及住房公积金</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查看社保缴纳记录</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□为全部专职工作人员缴纳五险及购买住房公积金，得7分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□为全部专职工作人员缴纳五险，但未购买住房公积金，得4分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□为部分或没有为专职员工缴纳五险，得0分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注1：社会组织必须为所有专职工作人员购买五险，提供购买五险一金相关证明材料。</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7</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档案、证章管理</w:t>
            </w: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管理制度</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档案、证章管理制度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查看档案、证章管理制度</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档案管理制度：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□档案管理制度详细、规范，得2分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□未制定档案管理制度，得0分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证章管理制度：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□证章管理制度详细、规范，得3分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□未制定证章管理制度，得0分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注：四级指标档案、证章管理制度得分=档案管理制度得分+证章管理制度得分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管理情况</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档案管理情况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□档案资料齐全、整理有序，档案交接手续完备或档案未发生交接情况，得4分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□档案资料不全，或档案资料整理无序、混乱，或未履行档案交接手续，得0分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4</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证书管理情况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查看证书管理及相关情况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□法人登记证书均在有效期内且证书均保存在社团住所、完好的，得2分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□有专人负责，得1分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注：此处为累加计分方式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印章、银行账户管理情况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查看印章、银行账户管理及相关情况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□制定有印章管理制度，得1分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□制定有银行账户管理制度，得1分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□印章使用符合规范并备案，得0.5分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□银行账户使用符合规范并备案，得0.5分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注：此处为累加计分方式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财务管理</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合法运营</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经费来源和资金使用</w:t>
            </w:r>
            <w:r>
              <w:rPr>
                <w:rStyle w:val="6"/>
                <w:rFonts w:ascii="黑体" w:hAnsi="黑体" w:eastAsia="黑体" w:cs="黑体"/>
                <w:b w:val="0"/>
                <w:bCs w:val="0"/>
                <w:color w:val="auto"/>
                <w:kern w:val="0"/>
                <w:sz w:val="18"/>
                <w:szCs w:val="18"/>
              </w:rPr>
              <w:footnoteReference w:id="2"/>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查看经费来源和资金使用情况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□未发现违反国家政策法规、章程规定的事项，得20分                                                                                       </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□存在以下事项其中任何1项，得0分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（1）存在侵占、私分、挪用资产、发生有失公允的关联交易、违规支付佣金或回扣、违规进行资金拆借</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（2）存在账外资金或小金库</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（3）存在违规收费行为，包括违规接受和使用捐赠、资助，捐赠专用收据</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 xml:space="preserve">（4）存在使用不合规凭证或票据列支费用                                                               </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资金列入符合规定的单位账簿</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查看资金来源和单位账簿</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□全部资金列入符合规定的单位账簿，得15分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□存在资金未列入符合规定的单位账簿，得0分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会计人员配备</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查看会计人员的</w:t>
            </w:r>
            <w:r>
              <w:rPr>
                <w:rStyle w:val="8"/>
                <w:rFonts w:ascii="黑体" w:hAnsi="黑体" w:eastAsia="黑体" w:cs="黑体"/>
                <w:b w:val="0"/>
                <w:bCs w:val="0"/>
                <w:color w:val="auto"/>
                <w:sz w:val="18"/>
                <w:szCs w:val="18"/>
                <w:lang w:eastAsia="zh-CN"/>
              </w:rPr>
              <w:t>相关会计专业资格</w:t>
            </w:r>
            <w:r>
              <w:rPr>
                <w:rStyle w:val="8"/>
                <w:rFonts w:ascii="黑体" w:hAnsi="黑体" w:eastAsia="黑体" w:cs="黑体"/>
                <w:b w:val="0"/>
                <w:bCs w:val="0"/>
                <w:color w:val="auto"/>
                <w:sz w:val="18"/>
                <w:szCs w:val="18"/>
              </w:rPr>
              <w:t>，后续教育及培训记录、工资表、社会保险缴纳记录等资料。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□配备2名及以上具有会计经验的专职工作人员负责财务工作，得5分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□由主管（挂靠）、代理记账公司等代理记账、或外单位人员兼任会计，得3分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□没有会计人员负责财务工作，得0分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注：此处为等级制得分方式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会计人员岗位职责</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查看会计人员岗位职责的建立情况，会计人员的具体分工情况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□会计岗位设置合理且各岗位会计人员的职责明确，得3分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□会计岗位设置不合理或岗位职责不明确，得0分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会计机构负责人</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查看会计机构负责人的专业技术资格证书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□会计机构负责人具有会计师以上职称，得2分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□会计机构负责人具有助理会计师职称，得1分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□会计机构负责人无职称，得0分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注：此处为等级制得分方式</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会计人员变动</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□2018、2019、2020年度会计人员变动的交接手续齐全或未发生会计人员变动的，得2分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□2018、2019、2020年年度会计人员变动的交接手续不全，得0分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核算流程</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□会计核算按流程进行，得3分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账务处理</w:t>
            </w:r>
            <w:r>
              <w:rPr>
                <w:rStyle w:val="6"/>
                <w:rFonts w:ascii="黑体" w:hAnsi="黑体" w:eastAsia="黑体" w:cs="黑体"/>
                <w:b w:val="0"/>
                <w:bCs w:val="0"/>
                <w:color w:val="auto"/>
                <w:kern w:val="0"/>
                <w:sz w:val="18"/>
                <w:szCs w:val="18"/>
              </w:rPr>
              <w:footnoteReference w:id="3"/>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查看账簿及会计凭证、会计报表，检查社会团体账务处理是否符合《民间非营利组织会计制度》的规定</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口严格执行《民间非营利组织会计制度》，得15分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口执行《民间非营利组织会计制度》，但存在不符合《民间非营利组织会计制度》的情况，得8分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口未执行《民间非营利组织会计制度》或会计核算中存在弄虚作假行为，情节严重的，得0分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存在以下问题，该项不得分：1．执行《民间非营利组织会计制度》以外的会计制度或未按《民间非营利组织会计制度》的要求设置会计科目或自编的会计报表不符合《民间非营利组织会计制度》的规定；2．存在虚列支出、虚构成本、伪造单据、取得虚假票据等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会计电算化</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□会计核算实行电算化，得2分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□会计核算未实行电算化，得0分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会计档案管理</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□会计档案有专人管理，存放有序、查阅方便，且建立会计档案保管清册（有立卷、归档、查阅、保管、销毁和移交等记录），得5分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做到会计档案有专人管理，存放有序、查阅方便，或未建立会计档案保管清册（有立卷、归档、查阅、保管、销毁和移交等记录），但会计凭证、账本、报表及其他会计资料装订整齐，顺序编号，签章齐全，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注：此处为等级制得分方式</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货币资金和实物资产管理</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货币资金管理制度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查看货币资金管理、收支管理、支出审批等制度，检查货币管理制度内容是否完整，是否明确以下内容：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（1）建立货币资金岗位责任制，明确办理现金业务的不相容岗位互相分离、制约和监督机制；</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（2）建立规范的授权审批制度，对支出标准、审批权限有明确规定；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（3）建立单位负责人支出的互签互批制度的内容；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（4）建立现金盘点清查和银行对账制度；</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口制定了货币资金管理制度，且较全面，得2分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口制定了货币资金管理制度，但不全面，得1分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口未制定货币资金管理制度，得0分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注1：此处为等级制计分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货币资金使用</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查看账簿凭证等，检查货币资金资金使用是否做到以下事项：</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（1）资金使用及审批手续齐全、符合制度的规定；</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（2）按规定使用现金和银行存款，无超标准使用现金现象；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（3）现金管理做到日清月结，及时登记，无白条抵库或大额库存现金结余的现象；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（4）银行印鉴由不同人员保管；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（5）按月编制银行存款余额调节表；</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（6）按国家规定购汇和结汇；</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口执行情况规范，得8分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口执行情况较规范，得5分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口执行情况一般，得2分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实物资产管理制度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查看资产管理制度，检查是否是否建立完善的资产管理制度，是否明确实物资产和无形资产的计量折旧及摊销政策，实物资产购置、验收、使用、保管、清查、处置等程序。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□制定了资产管理制度，且较全面，得2分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□口定了资产管理制度，但不全面，得1分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口未制定资产管理制度，得0分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注1：此处为等级制计分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实物资产使用</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查看资产购置（接受捐赠）、领用（发放）、保管、盘点、核算等方面的管理情况，具体考模：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（1）实物资产购进、领用、保管、处置审批手续完善；</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（2）接受捐赠的物资价值确认，即公允价值证明文件充分；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（3）接受捐赠物资的接收或发放手续齐全或按规定进行核算；</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（4）对实物资产至少每年盘点一次；</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（5）不存在账外资产；</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□执行情况规范，得8分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口执行情况较规范，得5分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口执行情况一般，得2分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口执行情况差，得0分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注1：固定资产核算不正确：包括：（1）固定资产标准不明确；（2）将符合固定资产条件的资产做为费用核算；（3）未计提折旧或折旧计提不正确；（4）未及时进行盘号、盘盈、毁損、减值处理。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投资管理制度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□建立了合法、安全、有效的风险防控管理制度，得2分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投资管理</w:t>
            </w:r>
            <w:r>
              <w:rPr>
                <w:rStyle w:val="6"/>
                <w:rFonts w:ascii="黑体" w:hAnsi="黑体" w:eastAsia="黑体" w:cs="黑体"/>
                <w:b w:val="0"/>
                <w:bCs w:val="0"/>
                <w:color w:val="auto"/>
                <w:kern w:val="0"/>
                <w:sz w:val="18"/>
                <w:szCs w:val="18"/>
              </w:rPr>
              <w:footnoteReference w:id="4"/>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投资履行决策程序：</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履行了可研、集体决策、后续监督等管理程序，且符合行业协会的宗旨，维护行业协会的信誉、项目（全部）资料完整，其中：进行委托投资的，应当委托银行或者具有资质的金融机构进行，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口上两个年度或本届理事会期间新发生的各种投资项目未履行可研、集体决策、后续监督等管理程序，或投资项目（全部）资料不完整，得3分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上两个年度或本届理事会期间新发生的各种投资项目未履行可研、集体决策、后续监督等管理程序，且不符合行业协会的宗旨，未维护行业协会的信誉，投资项目（全部）资料不完整，进行委托投资但没有委托银行或者具有资质的金融机构进行，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核算投资，损益或减值准备情况：</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口按规定采用正确方法核算投资、收益、损失或减值准备，且按权责发生制计算的年投资收益率不低于5％，得5分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口未按规定采用正确方法核算投资、收益、损失或减值准备，且按权责发生制计算的年投资收益率低于5％，得0分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注1：无投资的不扣分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注2：四级指标投资管理得分=投资履行决策程序得分+核算投资，损益或减值准备情况得分。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注2：投资履行决策程序得分计分方式为等级制计分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业务收支</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收入管理</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查看相关收入票据</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□各项收入严格遵守和执行国家有关规定，合理收费。且各项收入必须全部入账，不得坐支现金和帐外设账，得5分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□学会收取会费，必须使用国家规定的专用正式发票，并交会计人员及时入帐，不得坐支，得5分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注：此处得分为累加计分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支出管理</w:t>
            </w:r>
            <w:r>
              <w:rPr>
                <w:rStyle w:val="6"/>
                <w:rFonts w:ascii="黑体" w:hAnsi="黑体" w:eastAsia="黑体" w:cs="黑体"/>
                <w:b w:val="0"/>
                <w:bCs w:val="0"/>
                <w:color w:val="auto"/>
                <w:kern w:val="0"/>
                <w:sz w:val="18"/>
                <w:szCs w:val="18"/>
              </w:rPr>
              <w:footnoteReference w:id="5"/>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查看会计凭证及附件所体现的审批记录</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制度中对支付标准、审批权限规定情况：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□所建立的费用或收支管理制度中对支付标准、审批权限有明确规定，得4分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□所建立的费用或收支管理制度中未对支付标准、审批权限有明确规定，得0分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支出审批手续情况：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□各项支出审批手续齐全，符合制度要求，得4分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□各项支出审批手续不齐全，不符合制度要求，得0分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负责人经手开支的监督情况：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□单位负责人经手的开支，由其他领导签章进行审批，得2分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□单位负责人经手的开支未由其他领导签章进行审批，而是由其他人做经手人、本人负责自行审批，得0分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注：四级指标支出管理得分=制度中对支付标准、审批权限规定情况得分+支出审批手续情况得分+负责人经手开支的监督情况</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会费管理</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会费标准及层级</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查看会费标准的制定、收取管理、监督情况</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会费标准制定情况：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□会费标准制定或修改经会员（会员代表）大会无记名表决、举手表决通过，得5分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□会费标准制定或修改未经会员（会员代表）大会无记名表决、举手表决通过，得0分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会费档次执行合理：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□会费档次设置合理且不超过4档，得5分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□会费档次设置相对合理或超过4挡，得2分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□会费档次设置不合理，得0分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注1：四级指标会费标准及层级=会费标准制定情况得分+会费档次执行合理得分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注2：会费档次执行合理得分计算方式为等级制</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会费基本服务项目</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□会费基本服务项目清晰列出的，得5分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注：未设分支机构的不扣分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分支机构财务管理</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管理制度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□制定有分支机构财务专项管理办法，得2分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管理情况</w:t>
            </w:r>
            <w:r>
              <w:rPr>
                <w:rStyle w:val="6"/>
                <w:rFonts w:ascii="黑体" w:hAnsi="黑体" w:eastAsia="黑体" w:cs="黑体"/>
                <w:b w:val="0"/>
                <w:bCs w:val="0"/>
                <w:color w:val="auto"/>
                <w:kern w:val="0"/>
                <w:sz w:val="18"/>
                <w:szCs w:val="18"/>
              </w:rPr>
              <w:footnoteReference w:id="6"/>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查看分支机构财务管理、监督、核算情况</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分支机构的经济活动开展情况：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□分支机构的所有经济活动均在本部批准或授权的范围内开展，如：未独立收取会费、无对外投资、未开设银行账户等，得4分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□分支机构的经济活动未全部在本部批准或授权的范围内开展，得0分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对分支机构财务监管情况：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□履行了对分支机构的监督和管理职责，建立的分支机构的会计核算办法和财务管理制度得到有效执行，得4分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□未履行对分支机构的监督和管理职责，未建立分支机构的会计核算办法和财务管理制度，得0分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注1：未设分支机构的不扣分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注2：四级指标管理情况得分=分支机构的经济活动开展情况得分+对分支机构财务监管情况得分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税收和票据</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纳税管理</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查看纳税登记办理、纳税申报、缴纳和核算情况</w:t>
            </w:r>
            <w:r>
              <w:rPr>
                <w:rStyle w:val="8"/>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税务登记情况：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□按规定办理税务登记、变更手续，得3分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□未按规定办理税务登记、变更手续，得0分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各项税款申报、缴纳情况：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□按规定向税务部门申报、缴纳，得3分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□未按规定申报、缴纳，得0分</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注：四级指标纳税管理得分=税务登记情况得分+各项税款申报、缴纳情况</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票据管理</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查看发票、会费收据、捐赠专用收据、银行收据的购买、使用情况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□未发现使用不合规票据作为报销凭证，得5分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□发现使用不合规票据作为报销凭证，得0分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Ansi="宋体"/>
                <w:b w:val="0"/>
                <w:bCs w:val="0"/>
                <w:color w:val="auto"/>
                <w:kern w:val="0"/>
                <w:szCs w:val="18"/>
              </w:rPr>
              <w:t>※</w:t>
            </w:r>
            <w:r>
              <w:rPr>
                <w:rFonts w:hint="eastAsia" w:ascii="黑体" w:hAnsi="黑体" w:eastAsia="黑体" w:cs="黑体"/>
                <w:b w:val="0"/>
                <w:bCs w:val="0"/>
                <w:color w:val="auto"/>
                <w:kern w:val="0"/>
                <w:sz w:val="18"/>
                <w:szCs w:val="18"/>
              </w:rPr>
              <w:t>会费收据使用</w:t>
            </w:r>
            <w:r>
              <w:rPr>
                <w:rStyle w:val="6"/>
                <w:rFonts w:ascii="黑体" w:hAnsi="黑体" w:eastAsia="黑体" w:cs="黑体"/>
                <w:b w:val="0"/>
                <w:bCs w:val="0"/>
                <w:color w:val="auto"/>
                <w:kern w:val="0"/>
                <w:sz w:val="18"/>
                <w:szCs w:val="18"/>
              </w:rPr>
              <w:footnoteReference w:id="7"/>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查看会费收据存根、并对比会费标准与账面体现的会费收取情况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□未发现存在使用会费专用收据收取其他业务收入（例如：会议费、培训、展览、赞助、课题等）情况，得5分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□发现存在使用会费专用收据收取其他业务收入，得0分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捐赠票据使用</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查看领购、使用、管理捐赠票据方面的相关资料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□捐赠票据领购、使用规范，得3分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□不符合以上要求，得0分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注：未发生使用捐赠票据情形的，得满分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3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□理事会按规定每年向或会员（会员代表）大会报告财务状况，得5分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□理事会每年只向会员（会员代表）大会报告会费收取及使用情况，得3分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□理事会未按规定向会员（会员代表）大会报告财务状况，得0分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财务报告编制</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查看上年度的财务报告</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□年度财务报告内容完备，得5分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□年度财务报告内容不完备，得2分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□无年度财务报告，得0分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年度财务报告包括审计报告及报表、报表附注、财务情况说明书等内容。财务情况说明书应包括业务及财务活动基本情况，如资产状况和财务收支情况，上一年度工作计划或预算完成情况及差异分析，下一年度计划及预算、财务管理状况及存在的问题、对社团有重大影响的其他事项等。</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关联方及关联交易管理</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关联方及关联交易管理制度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社会团体关联方及关联交易管理制度，检查社会团体是否建立了关联方及关联交易管理制度，所建立制度内容是否全面，是否明确关联交易的批准程序、应禁止的关联交易的种类、关联方及关联交易披露的要求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口制定了关联方管理制度，内容全面，得3分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口制定了关联方管理制度，但内容不全面，得1分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口未制定关联方管理制度，得0分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注：1．关联方主要包括：（1）发起人（2）社会团体理事主要来源单位</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2、关联交易是指社会团体与上述个人或组织发生的交易。</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关联交易管理</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根据上述关联方及关联交易说明，查看社会团体账簿、审计报告及其他资料，了解社会团体与关联方发生交易情况，判断是与关联方发生的交易是否公允，检查社会团体是否存在以下禁止发生的关联交易行为：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（1）承担了应归属于关联方的成本或费用；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（2）为关联方开具没有真实交易背景的商业承兑汇票；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（3）代关联方承担或偿还债务；</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（4）为关联方提供担保；</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（5）其他损害社会团体利益的交易行为；</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口未发现存在以上禁止行为，得3分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口关联交易的发生经理事会审批，未发现存在关联方资金占用或有失公允的关联交易情况，得2分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口发现存在以上禁止行为，或关联交易的发生未经理事会审批，发现存在关联方资金占用或有失公允的关联交易情况，得0分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注1：有失公允的关联交易及关联方占用资金，包括但不限于：</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（1）以高于公允价值的价格向关联方购买物资、服务、租赁、许可协议等；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（2）以低于公允价值的价格向关联方出售物资、服务、租赁、许可协议等；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（3）明显低于市场正常收益水平或无偿地将资金拆借给关联方使用；</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（4）接受关联方捐赠的价值不公允的非货币资产；</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关联方及关联交易披露</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查看社会团体关联方及关联交易披露情况，判断社会团体的关联方及关联交易信息是否得到充分披露。</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口在年度工作报告、网站或其他媒体上披露了关联方及关联交易，且披露事项及内容完整，得3分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口在年度工作报告、网站或其他媒体上披露了关联方及关联交易，但披露事项或内容不完整，得1分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口未在年度工作报告、网站或其他媒体上披露关联方及关联交易，得0分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财务监督</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监督制度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□制定有财务监督制度，得2分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监事监督</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□投资活动、年度经费收支预估算情况接受理事、监事、捐款人的监督，得3分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财务报表审计</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查看上两个年度的年度审计报报</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□能提供近2年2个年度审计报告，得3分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□不能提供近2年审计报告，得0分 </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换届、离任审计</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查看最近一届离任或换届审计报告</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□最近一届法人离任或换届按要求进行财务审计或未发生换届或离任行为，得3分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□未按要求进行法人离任或换届财务审计，得0分</w:t>
            </w:r>
          </w:p>
        </w:tc>
        <w:tc>
          <w:tcPr>
            <w:tcW w:w="661" w:type="dxa"/>
            <w:tcBorders>
              <w:tl2br w:val="nil"/>
              <w:tr2bl w:val="nil"/>
            </w:tcBorders>
            <w:noWrap/>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工作绩效（323分）</w:t>
            </w: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学术活动</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学术会议</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主办学术会议次数</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查看2018年-2020年学术性社会团体组织召开学术会议材料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□平均每年主办学术会，具体形式包括学术年会、学术研讨会和学术沙龙等，3次，得15分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□平均每年主办学术会，具体形式包括学术年会、学术研讨会和学术沙龙等，2次，得10分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□平均每年主办学术会，具体形式包括学术年会、学术研讨会和学术沙龙等，1次，得5分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□未主办学术会，具体形式包括学术年会、学术研讨会和学术沙龙等，得0分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出席学术会议人员情况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查看2018年-2020年学术性社会团体主办的学术会议材料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□至少有三次学术会议有较高学术影响力的人员出席，得5分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□人文</w:t>
            </w:r>
            <w:r>
              <w:rPr>
                <w:rFonts w:hint="eastAsia" w:ascii="黑体" w:hAnsi="黑体" w:eastAsia="黑体" w:cs="黑体"/>
                <w:b w:val="0"/>
                <w:bCs w:val="0"/>
                <w:color w:val="auto"/>
                <w:kern w:val="0"/>
                <w:sz w:val="18"/>
                <w:szCs w:val="18"/>
                <w:lang w:eastAsia="zh-CN"/>
              </w:rPr>
              <w:t>社会</w:t>
            </w:r>
            <w:r>
              <w:rPr>
                <w:rFonts w:hint="eastAsia" w:ascii="黑体" w:hAnsi="黑体" w:eastAsia="黑体" w:cs="黑体"/>
                <w:b w:val="0"/>
                <w:bCs w:val="0"/>
                <w:color w:val="auto"/>
                <w:kern w:val="0"/>
                <w:sz w:val="18"/>
                <w:szCs w:val="18"/>
              </w:rPr>
              <w:t>科学类学术性社会团体平均每次学术会议出席人数超过50人，或自然科学类学术性社会团体超过100人，得10分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较高学术影响力的人员一般包括下列情形：两院院士、社科院学部委员（荣誉学部委员）、省级以上杰出青年科学基金获得者、省级以上院特殊津贴获得者、省级以上专业奖项获得者、国务院参事室参事、中央文史研究馆馆员、二级教授（二级研究员）职称以上等人员一般视为有较大影响力</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注2：此处为累加方式计分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学术会议交流论文情况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查看2018-2020年学术性社会团体主办的学术会议论文集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□收集、整理和保存学术会议论文，得5分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□结集并提供给会员，得5分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□编辑出版，得5分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□未发现学术会议交流论文，得0分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主办国内学术会议的影响力</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查看2018-2020年学术性社团主办、承办的学术会议材料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□两个以上的省内学术会议形成品牌，得10分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□定期组织两个以上省内学术会议或某一个省内学术会议形成品牌，得8分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□定期组织一个省内学术会议，得5分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□不定期组织省内学术会议，得3分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□近三个年度没有组织过省内学术会议，得0分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注1：学术会议形成品牌，应具备连续举办三次以上、社会知名度高等要素</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学术书刊</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专业期刊</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查看学术性社会团体主办的专业期刊</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□有专业期刊，得10分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□无专业期刊，但有定期出版物，得5分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□无专业期刊，且无定期出版物，得0分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内部资料</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查看学术性社会团体编印的内部资料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□内部资料定期编印，内容丰富，种类多样，定期提供给会员，得10分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□内部资料定期编印，内容较为丰富，种类较多，在一定内定期提供给会员，得6分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□有内部资料，内容少，得3分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□没有内部资料，得0分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专业书籍</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□专业书籍形成系列或专业书籍获得省部级以上图书奖，得10分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□有专业书籍且专业书籍获得地市级以上图书奖，得7分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□有专业书籍，得4分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 xml:space="preserve">□无专业书籍，得0分      </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注1：专业书籍指以学术性社团名义编辑出版的书籍，而非其负责人个人出版的书籍</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学术研究</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学术发展规划</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□制定学科、学术发展规划和课题研究计划并落实，得10分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□未制定学科、学术发展规划和课题研究计划或未落实，得0分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7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承担课题</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查看上2018年-2020年学术性社会团体承担课题研究相关资料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□承担课题研究项目6项及以上，得25分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□承担课题研究项目5项，得20分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□承担课题研究项目4项，得15分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□承担课题研究项目3项，得10分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□承担课题研究项目2项，得5分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□承担课题研究项目1项，得3分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□未承担过课题研究项目，得0分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组织课题</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查看上2018年-2020年学术性社会团体组织课题研究相关资料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□组织课题6项及以上，得20分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□组织课题5项，得15分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□组织课题4项，得10分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□组织课题3项，得7分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□组织课题2项，得5分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□组织课题1项，得3分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□未组织过课题，得0分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注1：组织课题组织开展课题包括三种情形，1.利用自有资金，自主确定课题开展研究；2.提供资金参与课题研究；3.自主其他单位和个人开展课题研究</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研究成果</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查看2018-2020年学术研究成果</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社科方面主要包括：</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专著、论文、研究报告；版权；社科奖励；</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□近三年有以上其中一项研究成果，得3分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□近三年无以上任何一项研究成果，得0分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自然科学成果：</w:t>
            </w:r>
            <w:r>
              <w:rPr>
                <w:rStyle w:val="8"/>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专著、论文、研究报告、咨询报告；发明专利、植物新品种、标准、省部级以上奖励；实用新型专利、软件著作权、外观设计专利；</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□近三年有以上其中一项研究成果，得3分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□近三年无以上任何一项研究成果，得0分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学术自律</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学术自律制度及实施</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查看会议纪要、决议和相关材料</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学术自律制度制定情况：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口学术自律制度详细、规范，且以会员（会员代表）大会或理事会形式通过，得5分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口学术自律制度详细、规范，得4分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口学术自律制度不够详细、规范，得3分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口相关材料能体现学术自律制度，得2分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口未制定学术自律制度，相关材料不能体现学术自律制度，得0分</w:t>
            </w:r>
            <w:r>
              <w:rPr>
                <w:rStyle w:val="9"/>
                <w:rFonts w:ascii="黑体" w:hAnsi="黑体" w:eastAsia="黑体" w:cs="黑体"/>
                <w:b w:val="0"/>
                <w:bCs w:val="0"/>
                <w:color w:val="auto"/>
                <w:sz w:val="18"/>
                <w:szCs w:val="18"/>
              </w:rPr>
              <w:br w:type="textWrapping"/>
            </w:r>
            <w:r>
              <w:rPr>
                <w:rStyle w:val="8"/>
                <w:rFonts w:ascii="黑体" w:hAnsi="黑体" w:eastAsia="黑体" w:cs="黑体"/>
                <w:b w:val="0"/>
                <w:bCs w:val="0"/>
                <w:color w:val="auto"/>
                <w:sz w:val="18"/>
                <w:szCs w:val="18"/>
              </w:rPr>
              <w:t>实施情况：</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口实施学术自律制度对规范学术行为、促进学科健康发展做出较大贡献，社会反响较好，得5分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口能提供实施学术自律制度案例材料，得4分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口未实施学术自律制度或未制定且相关材料不能体现学术自律制度，得0分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注1：四级指标学术自律制度及实施得分=学术制度自律制度制定情况得分+实施情况得分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注2：学术制度自律制度制定情况、实施情况两项计分方式为等级制计分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建议咨询</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政策建议</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参与制定法律法规或发展规划</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查看制定法律法规或发展规划的起草</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□参与过相关法律法规或发展规划的起草，得8分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□多次在制定法律法规或发展规划过程中提出建议，得6分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□在制定法律法规或发展规划过程中提出过建议，得4分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□多次在制定法律法规或发展规划过程中参与过相关调研、论证、研讨等工作，得2分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□该领域涉及此项内容，但未参与制定法律法规或发展规划，得0分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注1：该领域不涉及此项内容得满分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提出政策建议</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查看向政府提出政策建议相关材料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口向政府有关部门提出的多项政策建议被采纳或某项政策建议对学科发展、国民经济发展有重大贡献，得8分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口向政府有关部门提出的政策建议被采纳，得6分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口多次向政府有关部门提出过政策建议，得4分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口向政府有关部门提出过政策建议，得2分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口该领域涉及此项内容，但未向政府有关部门提出过政策建议，得0分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注1：该领域不涉及此项内容得满分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咨询评估</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专业咨询服务</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查看学术性社会团体开展专业咨询服务的相关材料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长期开展专业咨询服务，主动向服务对象公开咨询渠道，有专门机构和人员，咨询达到一定工</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作量，材料保存完好</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口具备以上全部情形，得8分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口具备以上情形中的三项以上项，得4分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口具备以上情形中的一至两项，得2分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口没有开展专业咨询服务，得0分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标准制定</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查看学术性社会团体参与标准制定情况：</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口参与制定国家（行业）标准或参与制定行业发展规划、行业准入条件、行业技术规范中的二，得9分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口参与制定国家（行业）标准或参与制定行业发展规划、行业准入条件、行业技术规范中的一，得7分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口参与制定地方标准，得5分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口参与制定企业标准，得3分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口该领域涉及此项内容，但没有参与制定行业标准、行业发展规划、行业准入条件、行业技术规</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范，得0分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注1：该领域不涉及此项内容得满分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9</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开展技能人才评价工作</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查看学术性社会团体开展职业技能鉴定的相关材料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□开展职业技能鉴定有专门机构或人员且社会效应显著，得5分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口没有职业技能鉴定资质但参与了职业技能鉴定工作，得3分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口该领域涉及此项内容，但未开展职业技能鉴定，得0分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注1：该领域不涉及此项内容，得满分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科普公益</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科普活动</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科普活动次数</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查看2018年-2020年科普活动记录的相关资料（分值降低）</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口近三年开展过科普活动，得3分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口近三年未开展科普活动，得0分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科普活动方式</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查看2018年-2020年科普活动记录的相关资料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出版科普书籍（含电子刊物）、建立网络科普栏目、建立期刊科普转来、制作挂图展板得、建设科普基地、开展科普讲座、编印科普知识宣传手册等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口具备以上2种情形，得3分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口具备以上1种情形，得2分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口未开展科普活动，得0分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科普活动影响力</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查看2018年-2020年学术性社会团体举办科学文化普及活动材料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口近三年举办过的科普活动，受众多，有较大影响力，或有科普作品（项目）获得优秀科普作品（活动）荣誉，得3分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口近三年举办过的科普活动，影响力一般，得1分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口未开展科普活动，得0分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人才建设</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人才培养</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继续教育及培训</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查看上2018年-2020年组织继续教育及培训活动相关资料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口近三年开展过继续教育及培训，得2分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口没有开展过培训，得0分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青年人才培养</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查看2018年-2020年青年人才培养活动相关材料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口近三年开展过人才人员得，得2分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口未开展过青年人才培养，得0分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专业人才举荐</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查看2018年-2020年专业人才举荐相关材料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口近三年有过人才举荐，得2分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口没有过人才举荐，得0分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按规定开展评比达标表彰活动</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查看2018年-2020年专业人才表彰相关材料</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□近三年开展过评比达标表彰活动，得2分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□近三年开展未过评比达标表彰活动，得0分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会员服务与管理</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会员管理</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□口会员数据库项目设置科学、规范、齐全，能依据入会、退会和会费缴纳情况及时更新相关信息，得10分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口会员数据库项目设置科学、规范、齐全，但不能及时更新相关信息，得6分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口建立了简单会员数据库，得3分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□未建立会员数据库，得0分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会员服务</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□定期对会员培训，2018年-2020年每年大于等于2次，得10分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□每年1次，得5分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会费收缴情况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□落实国家“六稳”“六保”相关政策，实行会费减免，得10分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信息公开与宣传</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平台建设</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信息平台种类</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□信息平台种类有3种或以上，得8分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□信息平台种类有2种，得6分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□信息平台种类有1种，得4分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8</w:t>
            </w:r>
          </w:p>
        </w:tc>
        <w:tc>
          <w:tcPr>
            <w:tcW w:w="621"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网站报刊</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拥有自办门户网站、网页、报刊三项中：</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□拥有网站，得4分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□拥有网页，得2分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□拥有报刊，得4分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新闻发言人</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□新闻发言人专职，得10分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□新闻发言人兼职，得5分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□无新闻发言人，得0分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公开内容</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基本信息（登记事项、章程、组织机构、负责人等）</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向社会公开基本信息（包括登记事项、章程、组织机构、负责人等）：</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□登记事项，得4分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□章程，得2分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□组织机构，得2分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□负责人，得2分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注：此处为累加计分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年度工作报告</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□制定有年度工作报告，得3分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财务工作报告</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□制定有年度财务工作报告，得3分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3</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收费信息制度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□有明确收费信息制度且收费信息制度透明，得6分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□不符合以上要求，得0分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6</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交流与合作</w:t>
            </w: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交流合作</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学术会议次数和影响力</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查看2018年-2020年组织省内外学术会议相关材料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□承办过省内外组织年会，得10分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□多次组织省内外学术会议，其中至少一个形成品牌，得8分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□多次组织省内外学术会议，得6分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□组织省内外学术会议，得4分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□参加过省内外学术会议，得2分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□未参加学术会议，得0分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学术交流活动</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查看2018-2020年学术考察相关资料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□进行学术考察或接待省内外团组5次以上，得10分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□进行学术考察或接待省内外团组3-4次，得6分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□进行学术考察或接待省内外团组1-2次，得3分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□未学术考察或接待省内外团组，得0分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合作项目</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Style w:val="8"/>
                <w:rFonts w:ascii="黑体" w:hAnsi="黑体" w:eastAsia="黑体" w:cs="黑体"/>
                <w:b w:val="0"/>
                <w:bCs w:val="0"/>
                <w:color w:val="auto"/>
                <w:sz w:val="18"/>
                <w:szCs w:val="18"/>
              </w:rPr>
              <w:t>查看2018年-2020年组织省内外学术会议相关材料</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□与多个省内外组织有长期稳定的合作项目，得15分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□与1个省内外组织有长期稳定的合作项目，得10分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□与1个省内外组织开展多个合作项目的，得5分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□开展过省内合作项目，得2分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□没有开展过省内外合作项目，得0分</w:t>
            </w:r>
            <w:r>
              <w:rPr>
                <w:rStyle w:val="9"/>
                <w:rFonts w:ascii="黑体" w:hAnsi="黑体" w:eastAsia="黑体" w:cs="黑体"/>
                <w:b w:val="0"/>
                <w:bCs w:val="0"/>
                <w:color w:val="auto"/>
                <w:sz w:val="18"/>
                <w:szCs w:val="18"/>
              </w:rPr>
              <w:br w:type="textWrapping"/>
            </w:r>
            <w:r>
              <w:rPr>
                <w:rStyle w:val="9"/>
                <w:rFonts w:ascii="黑体" w:hAnsi="黑体" w:eastAsia="黑体" w:cs="黑体"/>
                <w:b w:val="0"/>
                <w:bCs w:val="0"/>
                <w:color w:val="auto"/>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restart"/>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社会责任（100分）</w:t>
            </w:r>
          </w:p>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服务社会</w:t>
            </w:r>
          </w:p>
        </w:tc>
        <w:tc>
          <w:tcPr>
            <w:tcW w:w="950"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突发事件处理</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在重大突发事件中发挥作用情况</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□结合业务特点，利用专业优势参与救援，或在突发公共事件中进行解疑释惑、科普宣传，资金、物资捐赠等工作的，得15分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□否则，得0分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hRule="atLeast"/>
        </w:trPr>
        <w:tc>
          <w:tcPr>
            <w:tcW w:w="7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7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服务民生</w:t>
            </w:r>
          </w:p>
        </w:tc>
        <w:tc>
          <w:tcPr>
            <w:tcW w:w="160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利用自身优势服务社区居民或社会公众，救助弱势群体</w:t>
            </w:r>
          </w:p>
        </w:tc>
        <w:tc>
          <w:tcPr>
            <w:tcW w:w="7767"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□利用自身优势，服务社区居民或社会公众的，救助弱势群体，制定公益活动计划、公益活动支出情况、公益活动开展情况，得15分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□未开展相关公益活动和服务，得0分</w:t>
            </w:r>
          </w:p>
        </w:tc>
        <w:tc>
          <w:tcPr>
            <w:tcW w:w="66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5" w:hRule="atLeast"/>
        </w:trPr>
        <w:tc>
          <w:tcPr>
            <w:tcW w:w="7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7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9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160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利用组织优势参与社会治理</w:t>
            </w:r>
          </w:p>
        </w:tc>
        <w:tc>
          <w:tcPr>
            <w:tcW w:w="7767"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□在巩固脱贫攻坚成果、参与乡村振兴、城乡社区治理等服务方面，积极参与发挥重要作用，得15分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□作用成效一般的，得</w:t>
            </w:r>
            <w:r>
              <w:rPr>
                <w:rFonts w:ascii="黑体" w:hAnsi="黑体" w:eastAsia="黑体" w:cs="黑体"/>
                <w:b w:val="0"/>
                <w:bCs w:val="0"/>
                <w:color w:val="auto"/>
                <w:kern w:val="0"/>
                <w:sz w:val="18"/>
                <w:szCs w:val="18"/>
              </w:rPr>
              <w:t>7</w:t>
            </w:r>
            <w:r>
              <w:rPr>
                <w:rFonts w:hint="eastAsia" w:ascii="黑体" w:hAnsi="黑体" w:eastAsia="黑体" w:cs="黑体"/>
                <w:b w:val="0"/>
                <w:bCs w:val="0"/>
                <w:color w:val="auto"/>
                <w:kern w:val="0"/>
                <w:sz w:val="18"/>
                <w:szCs w:val="18"/>
              </w:rPr>
              <w:t>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□未参与或承担社会责任，得0分。</w:t>
            </w:r>
          </w:p>
        </w:tc>
        <w:tc>
          <w:tcPr>
            <w:tcW w:w="66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0" w:hRule="atLeast"/>
        </w:trPr>
        <w:tc>
          <w:tcPr>
            <w:tcW w:w="7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76"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950"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跟随政府指引</w:t>
            </w:r>
          </w:p>
        </w:tc>
        <w:tc>
          <w:tcPr>
            <w:tcW w:w="160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w:t>
            </w:r>
          </w:p>
        </w:tc>
        <w:tc>
          <w:tcPr>
            <w:tcW w:w="7767" w:type="dxa"/>
            <w:tcBorders>
              <w:tl2br w:val="nil"/>
              <w:tr2bl w:val="nil"/>
            </w:tcBorders>
            <w:noWrap w:val="0"/>
            <w:vAlign w:val="center"/>
          </w:tcPr>
          <w:p>
            <w:pPr>
              <w:spacing w:beforeLines="0" w:afterLines="0" w:line="40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□围绕政府中心工作发挥作用，社会效应显著的，得15分</w:t>
            </w:r>
          </w:p>
          <w:p>
            <w:pPr>
              <w:spacing w:beforeLines="0" w:afterLines="0" w:line="400" w:lineRule="exact"/>
              <w:jc w:val="lef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□社会效应一般的，得7分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□社会效应不明显，不得分</w:t>
            </w:r>
          </w:p>
        </w:tc>
        <w:tc>
          <w:tcPr>
            <w:tcW w:w="66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5" w:hRule="atLeast"/>
        </w:trPr>
        <w:tc>
          <w:tcPr>
            <w:tcW w:w="7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公众意识</w:t>
            </w:r>
          </w:p>
        </w:tc>
        <w:tc>
          <w:tcPr>
            <w:tcW w:w="950"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w:t>
            </w:r>
          </w:p>
        </w:tc>
        <w:tc>
          <w:tcPr>
            <w:tcW w:w="160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安全和后勤保障</w:t>
            </w:r>
          </w:p>
        </w:tc>
        <w:tc>
          <w:tcPr>
            <w:tcW w:w="7767" w:type="dxa"/>
            <w:tcBorders>
              <w:tl2br w:val="nil"/>
              <w:tr2bl w:val="nil"/>
            </w:tcBorders>
            <w:noWrap w:val="0"/>
            <w:vAlign w:val="center"/>
          </w:tcPr>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举行重大活动中：</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□有安全和后勤保障完整方案,得4分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□有活动相关许可文件，得3分</w:t>
            </w:r>
          </w:p>
          <w:p>
            <w:pPr>
              <w:spacing w:beforeLines="0" w:afterLines="0" w:line="400" w:lineRule="exact"/>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□志愿义工有安全责任险等，得3分</w:t>
            </w:r>
          </w:p>
        </w:tc>
        <w:tc>
          <w:tcPr>
            <w:tcW w:w="66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0" w:hRule="atLeast"/>
        </w:trPr>
        <w:tc>
          <w:tcPr>
            <w:tcW w:w="7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76"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950"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其它</w:t>
            </w:r>
          </w:p>
        </w:tc>
        <w:tc>
          <w:tcPr>
            <w:tcW w:w="160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倡导会员履行社会责任，利用行业优势服务社会公众</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□能提供多次倡导会员履行社会责任，利用行业优势服务社会公众的证明材料且社会反响较好、社会效应显著，得10分</w:t>
            </w:r>
          </w:p>
          <w:p>
            <w:pPr>
              <w:spacing w:beforeLines="0" w:afterLines="0" w:line="400" w:lineRule="exact"/>
              <w:rPr>
                <w:rFonts w:hint="eastAsia"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□作用成效一般的，得</w:t>
            </w:r>
            <w:r>
              <w:rPr>
                <w:rFonts w:ascii="黑体" w:hAnsi="黑体" w:eastAsia="黑体" w:cs="黑体"/>
                <w:b w:val="0"/>
                <w:bCs w:val="0"/>
                <w:color w:val="auto"/>
                <w:kern w:val="0"/>
                <w:sz w:val="18"/>
                <w:szCs w:val="18"/>
              </w:rPr>
              <w:t>7</w:t>
            </w:r>
            <w:r>
              <w:rPr>
                <w:rFonts w:hint="eastAsia" w:ascii="黑体" w:hAnsi="黑体" w:eastAsia="黑体" w:cs="黑体"/>
                <w:b w:val="0"/>
                <w:bCs w:val="0"/>
                <w:color w:val="auto"/>
                <w:kern w:val="0"/>
                <w:sz w:val="18"/>
                <w:szCs w:val="18"/>
              </w:rPr>
              <w:t>分</w:t>
            </w:r>
          </w:p>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□未倡导会员履行社会责任或服务社会公众，得0分</w:t>
            </w:r>
          </w:p>
        </w:tc>
        <w:tc>
          <w:tcPr>
            <w:tcW w:w="66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5" w:hRule="atLeast"/>
        </w:trPr>
        <w:tc>
          <w:tcPr>
            <w:tcW w:w="750" w:type="dxa"/>
            <w:vMerge w:val="continue"/>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kern w:val="0"/>
                <w:sz w:val="18"/>
                <w:szCs w:val="18"/>
              </w:rPr>
            </w:pPr>
          </w:p>
        </w:tc>
        <w:tc>
          <w:tcPr>
            <w:tcW w:w="876"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公益活动</w:t>
            </w:r>
          </w:p>
        </w:tc>
        <w:tc>
          <w:tcPr>
            <w:tcW w:w="950" w:type="dxa"/>
            <w:tcBorders>
              <w:tl2br w:val="nil"/>
              <w:tr2bl w:val="nil"/>
            </w:tcBorders>
            <w:noWrap w:val="0"/>
            <w:vAlign w:val="center"/>
          </w:tcPr>
          <w:p>
            <w:pPr>
              <w:widowControl/>
              <w:shd w:val="clear" w:color="auto" w:fill="FFFFFF"/>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1602"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参加慈善公益活动</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□每年组织或参与慈善、救助、环保等公益活动3次（含）以上，得20分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□每年组织或参与慈善、救助、环保等公益活动2次，得10分</w:t>
            </w:r>
          </w:p>
          <w:p>
            <w:pPr>
              <w:widowControl/>
              <w:spacing w:beforeLines="0" w:afterLines="0" w:line="400" w:lineRule="exact"/>
              <w:jc w:val="left"/>
              <w:textAlignment w:val="center"/>
              <w:rPr>
                <w:rFonts w:ascii="黑体" w:hAnsi="黑体" w:eastAsia="黑体" w:cs="黑体"/>
                <w:b w:val="0"/>
                <w:bCs w:val="0"/>
                <w:color w:val="auto"/>
                <w:kern w:val="0"/>
                <w:sz w:val="18"/>
                <w:szCs w:val="18"/>
              </w:rPr>
            </w:pPr>
            <w:r>
              <w:rPr>
                <w:rFonts w:hint="eastAsia" w:ascii="黑体" w:hAnsi="黑体" w:eastAsia="黑体" w:cs="黑体"/>
                <w:b w:val="0"/>
                <w:bCs w:val="0"/>
                <w:color w:val="auto"/>
                <w:kern w:val="0"/>
                <w:sz w:val="18"/>
                <w:szCs w:val="18"/>
              </w:rPr>
              <w:t>□每年组织或参与慈善、救助、环保等公益活动1次，得5分</w:t>
            </w:r>
          </w:p>
          <w:p>
            <w:pPr>
              <w:spacing w:beforeLines="0" w:afterLines="0" w:line="400" w:lineRule="exact"/>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□每年未组织或参与慈善、救助、环保等公益活动，得0分</w:t>
            </w:r>
          </w:p>
        </w:tc>
        <w:tc>
          <w:tcPr>
            <w:tcW w:w="66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r>
              <w:rPr>
                <w:rFonts w:hint="eastAsia" w:ascii="黑体" w:hAnsi="黑体" w:eastAsia="黑体" w:cs="黑体"/>
                <w:b w:val="0"/>
                <w:bCs w:val="0"/>
                <w:color w:val="auto"/>
                <w:sz w:val="18"/>
                <w:szCs w:val="18"/>
              </w:rPr>
              <w:t>20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0" w:hRule="atLeast"/>
        </w:trPr>
        <w:tc>
          <w:tcPr>
            <w:tcW w:w="7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社会评价（100分）</w:t>
            </w: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内部评价</w:t>
            </w: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会员评价</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规范管理、民主办会、接受监督、作用发挥、会费管理、行业影响等</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会员对社团的总体评价：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理事评价</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规范管理、民主办会、接受监督、作用发挥、领导班子、财务公开等</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理事、常务理事对社团总体评价：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工作人员评价</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规范管理、民主办会、作用发挥、领导班子、职业发展等</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工作人员对社团总体评价：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□“较好”，得4分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□“一般”，得3分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外部评价</w:t>
            </w: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年检情况、规范管理、作用发挥、脱贫攻坚、社会影响等</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登记管理机关对社团总体评价：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业务主管单位或党建工作机构</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规范管理、党建工作、领导班子、发挥作用、社会影响等</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业务主管单位或党建工作机构对社团总体评价：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□“好”,得20分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□“较好”，得15分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□“一般”，得10分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□“差”，得0分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restart"/>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其他有关部门</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违法违规失信记录</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□审计、税务、市场、公安等相关部门无违法违规失信记录，得15分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□审计、税务、市场、公安等相关部门有违法违规失信记录，得0分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注：社会组织有审计、税务、市场、公安等相关部门违法违规失信记录，不得评为3A及以上</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15</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负责人、理事会成员违规失信记录</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□负责人（会长、监事长、副会长、秘书长）、理事会成员等，未被列入失信被执行人名单，得10分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□负责人（会长、监事长、副会长、秘书长）未被列入失信被执行人名单，但理事会成员有被列入失信被执行人名单，得5分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□负责人（会长、监事长、副会长、秘书长）被列入失信被执行人名单，得0分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注1：若会长、秘书长有被列入失信被执行人名单情况，则不能评为3A及以上</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注2：此处为等级制计分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5"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媒体机构</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对学会的非营利性、诚信、公共服务型、创新性等方面的综合评价与认可度</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2018年、2019年、2020年电视、报纸、新媒体等对协会评价</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□受到媒体正面宣传报道，得10分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□未受到媒体正面或负面报道，得5分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□受到媒体负面宣传报道，得0分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0" w:hRule="atLeast"/>
        </w:trPr>
        <w:tc>
          <w:tcPr>
            <w:tcW w:w="750"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876" w:type="dxa"/>
            <w:vMerge w:val="continue"/>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50"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表彰奖励情况</w:t>
            </w:r>
          </w:p>
        </w:tc>
        <w:tc>
          <w:tcPr>
            <w:tcW w:w="1602"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政府部门表彰奖励</w:t>
            </w:r>
          </w:p>
        </w:tc>
        <w:tc>
          <w:tcPr>
            <w:tcW w:w="7767" w:type="dxa"/>
            <w:tcBorders>
              <w:tl2br w:val="nil"/>
              <w:tr2bl w:val="nil"/>
            </w:tcBorders>
            <w:noWrap w:val="0"/>
            <w:vAlign w:val="center"/>
          </w:tcPr>
          <w:p>
            <w:pPr>
              <w:widowControl/>
              <w:spacing w:beforeLines="0" w:afterLines="0" w:line="400" w:lineRule="exact"/>
              <w:jc w:val="left"/>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□受到过政府等有关部门表彰奖励2次或以上，得10分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□受到过政府等有关部门表彰奖励1次，得5分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□未受到过政府等有关部门表彰奖励，得0分</w:t>
            </w:r>
            <w:r>
              <w:rPr>
                <w:rFonts w:hint="eastAsia" w:ascii="黑体" w:hAnsi="黑体" w:eastAsia="黑体" w:cs="黑体"/>
                <w:b w:val="0"/>
                <w:bCs w:val="0"/>
                <w:color w:val="auto"/>
                <w:kern w:val="0"/>
                <w:sz w:val="18"/>
                <w:szCs w:val="18"/>
              </w:rPr>
              <w:br w:type="textWrapping"/>
            </w:r>
            <w:r>
              <w:rPr>
                <w:rFonts w:hint="eastAsia" w:ascii="黑体" w:hAnsi="黑体" w:eastAsia="黑体" w:cs="黑体"/>
                <w:b w:val="0"/>
                <w:bCs w:val="0"/>
                <w:color w:val="auto"/>
                <w:kern w:val="0"/>
                <w:sz w:val="18"/>
                <w:szCs w:val="18"/>
              </w:rPr>
              <w:t>注：此处为等级制计分</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1945" w:type="dxa"/>
            <w:gridSpan w:val="5"/>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总分值合计</w:t>
            </w:r>
          </w:p>
        </w:tc>
        <w:tc>
          <w:tcPr>
            <w:tcW w:w="661" w:type="dxa"/>
            <w:tcBorders>
              <w:tl2br w:val="nil"/>
              <w:tr2bl w:val="nil"/>
            </w:tcBorders>
            <w:noWrap w:val="0"/>
            <w:vAlign w:val="center"/>
          </w:tcPr>
          <w:p>
            <w:pPr>
              <w:widowControl/>
              <w:spacing w:beforeLines="0" w:afterLines="0" w:line="400" w:lineRule="exact"/>
              <w:jc w:val="center"/>
              <w:textAlignment w:val="center"/>
              <w:rPr>
                <w:rFonts w:ascii="黑体" w:hAnsi="黑体" w:eastAsia="黑体" w:cs="黑体"/>
                <w:b w:val="0"/>
                <w:bCs w:val="0"/>
                <w:color w:val="auto"/>
                <w:sz w:val="18"/>
                <w:szCs w:val="18"/>
              </w:rPr>
            </w:pPr>
            <w:r>
              <w:rPr>
                <w:rFonts w:hint="eastAsia" w:ascii="黑体" w:hAnsi="黑体" w:eastAsia="黑体" w:cs="黑体"/>
                <w:b w:val="0"/>
                <w:bCs w:val="0"/>
                <w:color w:val="auto"/>
                <w:kern w:val="0"/>
                <w:sz w:val="18"/>
                <w:szCs w:val="18"/>
              </w:rPr>
              <w:t>1000</w:t>
            </w:r>
          </w:p>
        </w:tc>
        <w:tc>
          <w:tcPr>
            <w:tcW w:w="621"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c>
          <w:tcPr>
            <w:tcW w:w="947" w:type="dxa"/>
            <w:tcBorders>
              <w:tl2br w:val="nil"/>
              <w:tr2bl w:val="nil"/>
            </w:tcBorders>
            <w:noWrap w:val="0"/>
            <w:vAlign w:val="center"/>
          </w:tcPr>
          <w:p>
            <w:pPr>
              <w:spacing w:beforeLines="0" w:afterLines="0" w:line="400" w:lineRule="exact"/>
              <w:jc w:val="center"/>
              <w:rPr>
                <w:rFonts w:ascii="黑体" w:hAnsi="黑体" w:eastAsia="黑体" w:cs="黑体"/>
                <w:b w:val="0"/>
                <w:bCs w:val="0"/>
                <w:color w:val="auto"/>
                <w:sz w:val="18"/>
                <w:szCs w:val="18"/>
              </w:rPr>
            </w:pPr>
          </w:p>
        </w:tc>
      </w:tr>
    </w:tbl>
    <w:p>
      <w:pPr>
        <w:spacing w:beforeLines="0" w:afterLines="0" w:line="400" w:lineRule="exact"/>
        <w:rPr>
          <w:rFonts w:hint="eastAsia"/>
          <w:b w:val="0"/>
          <w:bCs w:val="0"/>
          <w:lang w:val="en-US" w:eastAsia="zh-CN"/>
        </w:rPr>
      </w:pP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分数等级说明：</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val="en-US" w:eastAsia="zh-CN"/>
        </w:rPr>
        <w:t>本次社会组织等级评估总分为1000分，由评估指标表得分与评估委员会给分组成。评估指标表占评估总分的89%，折算后满分为890分。评估委员会给分占评估总分的11%，满分为110分，最终评估委员会给分为各委员给分平均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社会组织评估等级5A，指标表得分与评估委员会给分总分900分以上（含900分）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社会组织评估等级4A，指标表得分与评估委员会给分总分800-899分（含800分）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社会组织评估等级3A，指标表得分与评估委员会给分总分700-799分（含700分）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社会组织评估等级2A，指标表得分与评估委员会给分总分650-699分（含650分）</w:t>
      </w:r>
    </w:p>
    <w:p>
      <w:pPr>
        <w:spacing w:beforeLines="0" w:afterLines="0" w:line="400" w:lineRule="exact"/>
        <w:rPr>
          <w:rFonts w:hint="eastAsia" w:ascii="黑体" w:hAnsi="黑体" w:eastAsia="黑体" w:cs="黑体"/>
          <w:b w:val="0"/>
          <w:bCs w:val="0"/>
          <w:sz w:val="18"/>
          <w:szCs w:val="18"/>
          <w:lang w:eastAsia="zh-CN"/>
        </w:rPr>
      </w:pPr>
      <w:r>
        <w:rPr>
          <w:rFonts w:hint="eastAsia" w:ascii="黑体" w:hAnsi="黑体" w:eastAsia="黑体" w:cs="黑体"/>
          <w:b w:val="0"/>
          <w:bCs w:val="0"/>
          <w:sz w:val="18"/>
          <w:szCs w:val="18"/>
          <w:lang w:eastAsia="zh-CN"/>
        </w:rPr>
        <w:t>社会组织评估等级1A，指标表得分与评估委员会给分总分600-649分（含600分）</w:t>
      </w:r>
    </w:p>
    <w:p>
      <w:pPr>
        <w:spacing w:beforeLines="0" w:afterLines="0" w:line="400" w:lineRule="exact"/>
        <w:rPr>
          <w:rFonts w:hint="eastAsia" w:ascii="黑体" w:hAnsi="黑体" w:eastAsia="黑体" w:cs="黑体"/>
          <w:sz w:val="18"/>
          <w:szCs w:val="18"/>
          <w:lang w:eastAsia="zh-CN"/>
        </w:rPr>
      </w:pPr>
      <w:r>
        <w:rPr>
          <w:rFonts w:hint="eastAsia" w:ascii="黑体" w:hAnsi="黑体" w:eastAsia="黑体" w:cs="黑体"/>
          <w:b w:val="0"/>
          <w:bCs w:val="0"/>
          <w:sz w:val="18"/>
          <w:szCs w:val="18"/>
          <w:lang w:eastAsia="zh-CN"/>
        </w:rPr>
        <w:t>本次评估等级有效期5年，本年评估等级未达到3A，下一年度不可再参加评估，需等5年有效期过后才能重新参加评估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小标宋">
    <w:altName w:val="苹方-简"/>
    <w:panose1 w:val="03000509000000000000"/>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1">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2">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3">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4">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5">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6">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 w:id="7">
    <w:p>
      <w:pPr>
        <w:pStyle w:val="4"/>
        <w:rPr>
          <w:rFonts w:hint="eastAsia"/>
        </w:rPr>
      </w:pPr>
      <w:r>
        <w:rPr>
          <w:rStyle w:val="6"/>
        </w:rPr>
        <w:footnoteRef/>
      </w:r>
      <w:r>
        <w:t xml:space="preserve"> </w:t>
      </w:r>
      <w:r>
        <w:rPr>
          <w:rFonts w:hAnsi="宋体"/>
          <w:kern w:val="0"/>
        </w:rPr>
        <w:t>※</w:t>
      </w:r>
      <w:r>
        <w:rPr>
          <w:rFonts w:hint="eastAsia" w:hAnsi="宋体"/>
          <w:kern w:val="0"/>
        </w:rPr>
        <w:t>标识指示为重点考察指标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4836"/>
    <w:rsid w:val="7FDF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4">
    <w:name w:val="footnote text"/>
    <w:basedOn w:val="1"/>
    <w:uiPriority w:val="0"/>
    <w:pPr>
      <w:snapToGrid w:val="0"/>
      <w:jc w:val="left"/>
    </w:pPr>
    <w:rPr>
      <w:sz w:val="18"/>
    </w:rPr>
  </w:style>
  <w:style w:type="character" w:styleId="6">
    <w:name w:val="footnote reference"/>
    <w:basedOn w:val="5"/>
    <w:uiPriority w:val="0"/>
    <w:rPr>
      <w:vertAlign w:val="superscript"/>
    </w:rPr>
  </w:style>
  <w:style w:type="character" w:customStyle="1" w:styleId="8">
    <w:name w:val="font01"/>
    <w:basedOn w:val="5"/>
    <w:qFormat/>
    <w:uiPriority w:val="0"/>
    <w:rPr>
      <w:rFonts w:hint="eastAsia" w:ascii="宋体" w:hAnsi="宋体" w:eastAsia="宋体" w:cs="宋体"/>
      <w:b/>
      <w:bCs/>
      <w:color w:val="000000"/>
      <w:sz w:val="28"/>
      <w:szCs w:val="28"/>
      <w:u w:val="none"/>
    </w:rPr>
  </w:style>
  <w:style w:type="character" w:customStyle="1" w:styleId="9">
    <w:name w:val="font41"/>
    <w:basedOn w:val="5"/>
    <w:qFormat/>
    <w:uiPriority w:val="0"/>
    <w:rPr>
      <w:rFonts w:hint="eastAsia" w:ascii="宋体" w:hAnsi="宋体" w:eastAsia="宋体" w:cs="宋体"/>
      <w:color w:val="000000"/>
      <w:sz w:val="28"/>
      <w:szCs w:val="28"/>
      <w:u w:val="none"/>
    </w:rPr>
  </w:style>
  <w:style w:type="character" w:customStyle="1" w:styleId="10">
    <w:name w:val="font71"/>
    <w:basedOn w:val="5"/>
    <w:qFormat/>
    <w:uiPriority w:val="0"/>
    <w:rPr>
      <w:rFonts w:hint="eastAsia" w:ascii="宋体" w:hAnsi="宋体" w:eastAsia="宋体" w:cs="宋体"/>
      <w:color w:val="FF0000"/>
      <w:sz w:val="28"/>
      <w:szCs w:val="28"/>
      <w:u w:val="none"/>
    </w:rPr>
  </w:style>
  <w:style w:type="character" w:customStyle="1" w:styleId="11">
    <w:name w:val="font51"/>
    <w:basedOn w:val="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Office_2.8.0.4624_F1E327BC-269C-435d-A152-05C5408002CA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2021-08-04T14:50:00Z</dcterms:created>
  <dc:creator>xlw</dc:creator>
  <cp:lastModifiedBy>xlw</cp:lastModifiedBy>
  <dcterms:modified xsi:type="dcterms:W3CDTF">2021-08-04T14:50:38Z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2052-2.8.0.4624</vt:lpwstr>
  </property>
</Properties>
</file>