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00" w:lineRule="exac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附件5</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796"/>
        <w:gridCol w:w="893"/>
        <w:gridCol w:w="1758"/>
        <w:gridCol w:w="7841"/>
        <w:gridCol w:w="712"/>
        <w:gridCol w:w="814"/>
        <w:gridCol w:w="683"/>
      </w:tblGrid>
      <w:tr>
        <w:trPr>
          <w:trHeight w:val="510" w:hRule="atLeast"/>
        </w:trPr>
        <w:tc>
          <w:tcPr>
            <w:tcW w:w="14174" w:type="dxa"/>
            <w:gridSpan w:val="8"/>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32"/>
                <w:szCs w:val="32"/>
              </w:rPr>
              <w:t>2021年度云南省行业协会商会评估指标（试行）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7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一级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79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二级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三级指标</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四级指标</w:t>
            </w:r>
          </w:p>
        </w:tc>
        <w:tc>
          <w:tcPr>
            <w:tcW w:w="784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评分说明</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总分值</w:t>
            </w:r>
          </w:p>
        </w:tc>
        <w:tc>
          <w:tcPr>
            <w:tcW w:w="814"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自评分</w:t>
            </w:r>
          </w:p>
        </w:tc>
        <w:tc>
          <w:tcPr>
            <w:tcW w:w="68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专家评分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5" w:hRule="atLeast"/>
        </w:trPr>
        <w:tc>
          <w:tcPr>
            <w:tcW w:w="67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基础条件（95分）</w:t>
            </w: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法人资格</w:t>
            </w: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法定代表人</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任职资格符合规定</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查看法定代表人产生（变更）的会议纪要和决议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法定代表人按章程规定产生（变更），得10分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□不能正常在本会工作</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w:t>
            </w:r>
            <w:r>
              <w:rPr>
                <w:rStyle w:val="9"/>
                <w:rFonts w:hint="eastAsia" w:ascii="黑体" w:hAnsi="黑体" w:eastAsia="黑体" w:cs="黑体"/>
                <w:b w:val="0"/>
                <w:bCs w:val="0"/>
                <w:color w:val="auto"/>
                <w:sz w:val="18"/>
                <w:szCs w:val="18"/>
                <w:lang w:val="en-US" w:eastAsia="zh-CN"/>
              </w:rPr>
              <w:t>最高</w:t>
            </w:r>
            <w:r>
              <w:rPr>
                <w:rStyle w:val="9"/>
                <w:rFonts w:ascii="黑体" w:hAnsi="黑体" w:eastAsia="黑体" w:cs="黑体"/>
                <w:b w:val="0"/>
                <w:bCs w:val="0"/>
                <w:color w:val="auto"/>
                <w:sz w:val="18"/>
                <w:szCs w:val="18"/>
              </w:rPr>
              <w:t>任职年龄超过70周岁</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□违反国家法律、法规，受过剥夺政治权利的刑事处罚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□限制民事行为能力或无民事行为能力</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□会长、秘书长由同一会员单位的人员担任，或者是近亲属，或者具有其他利害关系</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□兼任其他社会团体的法定代表人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□兼任秘书长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□连续担任两届以上（若章程有特殊规定，按章程规定执行）                                                                    □法律、法规规定不得担任法定代表人的其他情形</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注：出现上述任何一种情况，此项不得分。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活动资金</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年末净资产不低于注册资金</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ascii="黑体" w:hAnsi="黑体" w:eastAsia="黑体" w:cs="黑体"/>
                <w:b w:val="0"/>
                <w:bCs w:val="0"/>
                <w:color w:val="auto"/>
                <w:sz w:val="18"/>
                <w:szCs w:val="18"/>
              </w:rPr>
              <w:t>查看资产负债表中2020年末净资产数额</w:t>
            </w:r>
            <w:r>
              <w:rPr>
                <w:rStyle w:val="11"/>
                <w:rFonts w:ascii="黑体" w:hAnsi="黑体" w:eastAsia="黑体" w:cs="黑体"/>
                <w:b w:val="0"/>
                <w:bCs w:val="0"/>
                <w:color w:val="auto"/>
                <w:sz w:val="18"/>
                <w:szCs w:val="18"/>
              </w:rPr>
              <w:br w:type="textWrapping"/>
            </w:r>
            <w:r>
              <w:rPr>
                <w:rStyle w:val="11"/>
                <w:rFonts w:ascii="黑体" w:hAnsi="黑体" w:eastAsia="黑体" w:cs="黑体"/>
                <w:b w:val="0"/>
                <w:bCs w:val="0"/>
                <w:color w:val="auto"/>
                <w:sz w:val="18"/>
                <w:szCs w:val="18"/>
              </w:rPr>
              <w:t>□2020年末净资产大于等于注册资金，得15分</w:t>
            </w:r>
            <w:r>
              <w:rPr>
                <w:rStyle w:val="11"/>
                <w:rFonts w:ascii="黑体" w:hAnsi="黑体" w:eastAsia="黑体" w:cs="黑体"/>
                <w:b w:val="0"/>
                <w:bCs w:val="0"/>
                <w:color w:val="auto"/>
                <w:sz w:val="18"/>
                <w:szCs w:val="18"/>
              </w:rPr>
              <w:br w:type="textWrapping"/>
            </w:r>
            <w:r>
              <w:rPr>
                <w:rStyle w:val="11"/>
                <w:rFonts w:ascii="黑体" w:hAnsi="黑体" w:eastAsia="黑体" w:cs="黑体"/>
                <w:b w:val="0"/>
                <w:bCs w:val="0"/>
                <w:color w:val="auto"/>
                <w:sz w:val="18"/>
                <w:szCs w:val="18"/>
              </w:rPr>
              <w:t>□2020年末净资产</w:t>
            </w:r>
            <w:r>
              <w:rPr>
                <w:rStyle w:val="11"/>
                <w:rFonts w:ascii="黑体" w:hAnsi="黑体" w:eastAsia="黑体" w:cs="黑体"/>
                <w:b w:val="0"/>
                <w:bCs w:val="0"/>
                <w:color w:val="auto"/>
                <w:sz w:val="18"/>
                <w:szCs w:val="18"/>
                <w:lang w:eastAsia="zh-CN"/>
              </w:rPr>
              <w:t>不</w:t>
            </w:r>
            <w:r>
              <w:rPr>
                <w:rStyle w:val="11"/>
                <w:rFonts w:ascii="黑体" w:hAnsi="黑体" w:eastAsia="黑体" w:cs="黑体"/>
                <w:b w:val="0"/>
                <w:bCs w:val="0"/>
                <w:color w:val="auto"/>
                <w:sz w:val="18"/>
                <w:szCs w:val="18"/>
              </w:rPr>
              <w:t>低于注册资金</w:t>
            </w:r>
            <w:r>
              <w:rPr>
                <w:rStyle w:val="11"/>
                <w:rFonts w:ascii="黑体" w:hAnsi="黑体" w:eastAsia="黑体" w:cs="黑体"/>
                <w:b w:val="0"/>
                <w:bCs w:val="0"/>
                <w:color w:val="auto"/>
                <w:sz w:val="18"/>
                <w:szCs w:val="18"/>
                <w:lang w:eastAsia="zh-CN"/>
              </w:rPr>
              <w:t>的</w:t>
            </w:r>
            <w:r>
              <w:rPr>
                <w:rStyle w:val="11"/>
                <w:rFonts w:ascii="黑体" w:hAnsi="黑体" w:eastAsia="黑体" w:cs="黑体"/>
                <w:b w:val="0"/>
                <w:bCs w:val="0"/>
                <w:color w:val="auto"/>
                <w:sz w:val="18"/>
                <w:szCs w:val="18"/>
              </w:rPr>
              <w:t>50%，得5分</w:t>
            </w:r>
            <w:r>
              <w:rPr>
                <w:rStyle w:val="11"/>
                <w:rFonts w:ascii="黑体" w:hAnsi="黑体" w:eastAsia="黑体" w:cs="黑体"/>
                <w:b w:val="0"/>
                <w:bCs w:val="0"/>
                <w:color w:val="auto"/>
                <w:sz w:val="18"/>
                <w:szCs w:val="18"/>
              </w:rPr>
              <w:br w:type="textWrapping"/>
            </w:r>
            <w:r>
              <w:rPr>
                <w:rStyle w:val="11"/>
                <w:rFonts w:ascii="黑体" w:hAnsi="黑体" w:eastAsia="黑体" w:cs="黑体"/>
                <w:b w:val="0"/>
                <w:bCs w:val="0"/>
                <w:color w:val="auto"/>
                <w:sz w:val="18"/>
                <w:szCs w:val="18"/>
              </w:rPr>
              <w:t>□2020年末净资产低于注册资金</w:t>
            </w:r>
            <w:r>
              <w:rPr>
                <w:rStyle w:val="11"/>
                <w:rFonts w:ascii="黑体" w:hAnsi="黑体" w:eastAsia="黑体" w:cs="黑体"/>
                <w:b w:val="0"/>
                <w:bCs w:val="0"/>
                <w:color w:val="auto"/>
                <w:sz w:val="18"/>
                <w:szCs w:val="18"/>
                <w:lang w:eastAsia="zh-CN"/>
              </w:rPr>
              <w:t>的</w:t>
            </w:r>
            <w:r>
              <w:rPr>
                <w:rStyle w:val="11"/>
                <w:rFonts w:ascii="黑体" w:hAnsi="黑体" w:eastAsia="黑体" w:cs="黑体"/>
                <w:b w:val="0"/>
                <w:bCs w:val="0"/>
                <w:color w:val="auto"/>
                <w:sz w:val="18"/>
                <w:szCs w:val="18"/>
              </w:rPr>
              <w:t>50%，得0分</w:t>
            </w:r>
            <w:r>
              <w:rPr>
                <w:rStyle w:val="11"/>
                <w:rFonts w:ascii="黑体" w:hAnsi="黑体" w:eastAsia="黑体" w:cs="黑体"/>
                <w:b w:val="0"/>
                <w:bCs w:val="0"/>
                <w:color w:val="auto"/>
                <w:sz w:val="18"/>
                <w:szCs w:val="18"/>
              </w:rPr>
              <w:br w:type="textWrapping"/>
            </w:r>
            <w:r>
              <w:rPr>
                <w:rStyle w:val="11"/>
                <w:rFonts w:ascii="黑体" w:hAnsi="黑体" w:eastAsia="黑体" w:cs="黑体"/>
                <w:b w:val="0"/>
                <w:bCs w:val="0"/>
                <w:color w:val="auto"/>
                <w:sz w:val="18"/>
                <w:szCs w:val="18"/>
              </w:rPr>
              <w:t>注：此处为等级制计分方式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89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名称牌匾与登记证书悬挂情况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□有名称牌匾悬挂于办公场所外，且登记证书悬挂于办公场所内，得5分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□未按要求悬挂名称牌匾或登记证书，得0分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住所</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有独立的办公用房</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查看办公场所相关证明材料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□自有产权，提供产权证明，得10分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□租赁提供租赁合同或无偿使用，独立办公，得8分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□与其他单位合署办公或其他情况，得0分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登记管理</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章程制定（修订）程序符合规定</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查看制定或修改章程的会议纪要或决议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□2/3以上会员（会员代表）出席会员（会员代表）大会，全体会员（会员代表）半数以上表决通过，且无记名方式表决，能提供会议纪要或决议，并有相应的档案痕迹资料（签到表、议程、修改说明），得10分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□2/3以上会员（会员代表）出席会员（会员代表）大会，全体会员（会员代表）半数以上表决通过，举手表决的，能提供会议纪要或决议，并有相应的档案痕迹资料（签到表、议程、修改说明），得5分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□章程制定（修订）程序不符合规定，或无会议纪要，得0分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章程修订后履行核准程序</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查看章程核准材料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□盖有登记管理机关章程核准章的章程，得10分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□不能提供盖有登记管理机关章程核准章的章程，得0分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注：修改章程应当报登记管理机关核准，正在办理过程中视为章程按规定核准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84"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登记和备案</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名称、业务范围、住所、注册资金、法定代表人、业务主管单位等按规定办理变更登记</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查看变更登记材料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□变更事项按规定和时限办理变更登记手续，得8分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□变更事项超过30日办理的或正在办理变更但提交时限已超过30日，得5分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□名称、业务范围、住所、注册资金、法定代表人、业务主管单位等，其中有一项变更但未按规定办理变更手续，得0分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注1：未发生变更的得满分。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7"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按规定办理备案</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查看备案材料</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负责人（会长、监事长、副会长、秘书长）备案情况：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□理事、常务理事、负责人、名誉职务按干管权限规定履行报批手续，一届一备，得4分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□理事、常务理事、负责人、名誉职务未按干管权限规定履行报批手续，得0分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会费标准执行情况</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□在章程中载明会费标准，且不超过4档，得4分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□在章程中未载明会费标准，或超过4档，得0分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注：如已执行会费标准为四挡的提供佐证材料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 xml:space="preserve">其他备案情况（例如：印章、银行账户）：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□按规定办理印章备案手续，得2分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□按规定办理银行账户备案手续，得2分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□其他未按规定办理备案手续，得0分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注1：此处计分方式为：负责人备案情况4分+会费标准执行情况4分+其他备案情况4分=12分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注2：其他备案情况计分方式为累加计分：印章备案2分+银行账户备案2分=4分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年检结论</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查看登记证书年检记录</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□2018年与2019年两年的年检结论都合格，得10分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□2018年、2019年中任一年份年检结果为基本合格，得2分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3780" w:hRule="atLeast"/>
        </w:trPr>
        <w:tc>
          <w:tcPr>
            <w:tcW w:w="67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内部治理（382分）</w:t>
            </w: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组织机构</w:t>
            </w: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发展规划</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发展规划制定情况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届内发展规划制定</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□有单独详尽的发展规划，得2分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□发展规划制定一般或不太详尽，得1分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□未制定发展规划，得0分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发展规划落实：</w:t>
            </w:r>
            <w:r>
              <w:rPr>
                <w:rStyle w:val="9"/>
                <w:rFonts w:ascii="黑体" w:hAnsi="黑体" w:eastAsia="黑体" w:cs="黑体"/>
                <w:b w:val="0"/>
                <w:bCs w:val="0"/>
                <w:color w:val="auto"/>
                <w:sz w:val="18"/>
                <w:szCs w:val="18"/>
              </w:rPr>
              <w:t xml:space="preserve">                                                                                     □落实规划情况很好，得3分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□落实规划情况一般，得1分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□规划未落实，得0分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注1：将发展规划内容与相关业务活动相对照。</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注2：四级指标发展规划制定情况得分</w:t>
            </w:r>
            <w:r>
              <w:rPr>
                <w:rStyle w:val="8"/>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t>届内发展规划制定得分+发展规划落实；</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注3：五级指标届内发展规划制定、发展规划落实计分方式为等级制计分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会员（会员代表）大会</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会议准备及召开程序符合章程规定</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查看本届会员（会员代表）大会的会议纪要、决议及相关材料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□按时召开会员（会员代表）大会，2/3以上会员（会员代表）出席，决议经全体会员（会员代表）半数以上表决通过，并制定了详细的会议方案，相关材料详细全面，得8分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□按时召开会员（会员代表）大会，2/3以上会员（会员代表）出席，决议经全体会员（会员代表）半数以上表决通过，会议方案不够详细，相关材料不够详细全面，得6分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□按时召开会员（会员代表）大会，2/3以上会员（会员代表）出席，决议经全体会员（会员代表）半数以上表决通过，会议方案不详细，相关材料不详细全面，得4分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□按时召开会员（会员代表）大会，2/3以上会员（会员代表）出席，决议经全体会员（会员代表）半数以上表决通过，未制定会议方案，无相关材料或不详细全面，得2分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□召开会员（会员代表）大会或全体会员（会员代表）人数和表决人数不符合规定或未按时召开会议，得0分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注1：受新冠疫情影响2020年未召开会员（会员代表）大会的，得满分。以通讯方式表决的，此项不得分。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80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理事会、常务理事会</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按期换届情况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查看最近一次换届资料和相关会议纪要、决议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□理事会按期换届，得4分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□理事超期换届的，得2分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□理事会未按期换届，超期未换届，得0分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注1：提前或延期换届经登记管理机关备案视为按期换届。</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理事产生及理事会召开情况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查看选举、罢免理事的会员（会员代表）大会的会议纪要和决议</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理事产生：</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□产生、罢免理事，会议出席人数和表决人数符合规定，会员或会员代表大会须全体2/3以上会员或会员代表出席，全体会员半数以上表决通过，得3分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□未按章程规定条件和程序产生、罢免理事，得0分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理事会召开：</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□理事会召开程序和次数符合章程规定，得3分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□理事会召开程序或次数不符合章程规定，得0分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 xml:space="preserve">注1：提供会议通知、签到表。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注2：理事会每年至少召开一次</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注3：此处四级指标理事产生及理事会召开情况得分=五级指标理事产生得分+理事会召开得分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49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常务理事产生及常务理事会召开情况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查看选举、罢免常务理事的理事会会议纪要和决议</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常务理事产生：</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□产生、罢免常务理事，会议出席人数和表决人数符合规定，理事会须全体理事2/3以上出席，全体理事半数以上表决通过，得3分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□未按章程规定条件和程序产生、罢免常务理事，得0分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常务理事会召开：</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□常务理事会召开程序和次数符合章程规定，得3分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□常务理事会召开程序或次数不符合章程规定，得0分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注1：提供会议通知、签到表。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注2：常务理事会至少每半年召开一次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注3：此处四级指标常务理事产生及常务理事会召开情况得分=五级指标常务理事产生得分+常务理事会召开得分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注4：未设常务理事会的，常务理事产生、罢免和常务理事会召开情况</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2"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会议纪要规范</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查看会议纪要</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□（常务）理事会有详细会议纪要，得4分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□有召开（常务）理事会会议的会议纪要但不详细、规范，得2分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□无会议纪要，得0分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注1：提供会议纪要。</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理事会（常务理事会）按章程履行职权</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查看会议纪要与章程</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□理事会、常务理事会表决事项与章程规定职权一致且有理事会、常务理事会相关制度，得5分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□理事会、常务理事会表决事项与章程规定职权一致但没有有理事会、常务理事会相关制度，得3分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□理事会、常务理事会有越权行为或采用其他形式（例如：会长办公会）代替理事会、常务理事会，得0分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理事会、常务理事会的越权行为主要包括：常务理事由常务理事会产生、罢免，理事会、常务理事会通过修改章程、修改会费标准和产生、罢免理事等决议，对照章程查看。未设立常务理事会的，常务理事会指标得满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监事或监事会</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设立情况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□按章程设立监事会，选举产生监事、监事长，且监事、监事长与理事以上人员无近亲属关系，监事不得是财务、理事，得2分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□未设立监事会，得0分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作用发挥</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□监事列席理事会（常务理事会）、会员（会员代表）大会，按照章程召开监事会，形成会议纪要和监事会报告并盖公章，得2分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□监事列席理事会（常务理事会）、会员（会员代表）大会，按照章程召开监事会，形成会议纪要并盖公章，未形成监事会报告，得1分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□监事未列席理事会（常务理事会）、会员（会员代表）大会，未按照章程召开监事会，未形成会议纪要，未形成监事会报告，得0分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34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民主决策</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会员（会员代表）大会表决事项及表决形式</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查看会员（会员代表）大会表决事项会议纪要、民主决策相关证明材料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□会员（会员代表）大会按照章程召开会议并进行表决，得7分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□制定、修改章程、会费标准，选举、罢免理事、会长、副会长、秘书长（适用于选举产生秘书长），不以无记名投票表决的，得0分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□民主决策不符合章程规定，得0分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2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负责人产生选举形式及表决形式</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查看负责人产生会议纪要、决议</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负责人选举形式：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□负责人的产生选举形式符合章程规定且差额选举的，得3分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□负责人的产生选举形式符合章程规定未差额选举的，得1分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□负责人的产生选举形式不符合章程规定，得0分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查看负责人产生会议纪要、决议</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负责人选举表决形式：</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□以无记名投票表决的，得3分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□未以无记名投票表决的，得0分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分支（代表）机构</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※设立程序符合规定</w:t>
            </w:r>
            <w:r>
              <w:rPr>
                <w:rStyle w:val="6"/>
                <w:rFonts w:ascii="黑体" w:hAnsi="黑体" w:eastAsia="黑体" w:cs="黑体"/>
                <w:b w:val="0"/>
                <w:bCs w:val="0"/>
                <w:color w:val="auto"/>
                <w:kern w:val="0"/>
                <w:sz w:val="18"/>
                <w:szCs w:val="18"/>
              </w:rPr>
              <w:footnoteReference w:id="0"/>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查看分支（代表）机构设立记录等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□未设立分支（代表）机构，得3分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□按照章程规定，经理事会或常务理事会决定设立分支（代表）机构，得3分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□设立分支（代表机构），但未按章程规定程序设立分支（代表）机构，得0分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注：不得设置地域性分支（代表）机构，否则不得分。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1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名称使用符合规定</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□未设立分支（代表）机构，得2分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□分支（代表）机构名称使用符合规定，得2分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制定管理办法</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□未设立分支（代表）机构，得2分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□有分支（代表）机构管理办法、分支（代表）机构工作计划、总结，得2分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□未制定分支（代表）机构管理办法，分支（代表）机构工作计划、总结，得0分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13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highlight w:val="yellow"/>
              </w:rPr>
            </w:pPr>
            <w:r>
              <w:rPr>
                <w:rFonts w:hint="eastAsia" w:ascii="黑体" w:hAnsi="黑体" w:eastAsia="黑体" w:cs="黑体"/>
                <w:b w:val="0"/>
                <w:bCs w:val="0"/>
                <w:color w:val="auto"/>
                <w:kern w:val="0"/>
                <w:sz w:val="18"/>
                <w:szCs w:val="18"/>
              </w:rPr>
              <w:t>管理及工作开展情况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查看分支（代表）机构活动情况</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分支（代表）机构管理：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□在年度工作报告中将分支机构、代表机构名称、负责人、住所、受理程序、开展活动情况报送登记管理机关，接受年度检查，得3分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□未在年度工作报告中将分支机构、代表机构名称、负责人、住所、受理程序、开展活动情况报送登记管理机关，接受年度检查，得0分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分支（代表）机构工作开展情况：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□分支（代表）机构根据社会团体授权开展活动、发展会员，得2分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□分支（代表）机构未经授权发展会员或分支（代表）机构开展活动时未冠以行业协会名称，得0分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□分支（代表）机构疏于管理，得0分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注：四级指标管理及工作开展情况得分=五级指标分支（代表）机构管理得分+ 分支（代表）机构工作开展情况得分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党建工作</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党的建设和社会主义核心价值观写入章程</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将党的建设相关内容写入章程</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查看章程</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□将党的建设相关内容写入章程，得10分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社会主义核心价值观写入章程</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□将社会主义核心价值观内容写入章程，得10分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党组织建立情况</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党组织建立情况</w:t>
            </w:r>
            <w:r>
              <w:rPr>
                <w:rStyle w:val="6"/>
                <w:rFonts w:ascii="黑体" w:hAnsi="黑体" w:eastAsia="黑体" w:cs="黑体"/>
                <w:b w:val="0"/>
                <w:bCs w:val="0"/>
                <w:color w:val="auto"/>
                <w:kern w:val="0"/>
                <w:sz w:val="18"/>
                <w:szCs w:val="18"/>
              </w:rPr>
              <w:footnoteReference w:id="1"/>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查看党组织相关材料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□设立党组织（独立党组织、联合党组织、临时党组织），且开展了党的工作的，得18分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□不具备成立党组织条件的，但开展了党的工作的，得8分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□应建未建，得0分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□未开展党的工作一律，得0分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注1：已经建立党组织的，提供成立党组织的批复。</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注2：通过党建工作指导员开展党的工作和活动的，请提供有关部门的材料（社会组织党委办、行业指导部门等）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注3：不具备条件未组建党组织的，但开展了党的工作，提供党建工作台账资料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注4：此处为等级制计分</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注5：党组织应建未建或常年不开展活动，不发挥作用的，评估时不得评为4A及以上</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党组织活动情况</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组织生活制度落实情况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查看党支部活动记录本</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□党组织制度健全，各种工作记录（包括“三会一课”记录，主题党日，组织生活会记录、民主评议党员、党支部活动记录等）内容完整，格式规范，得2分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□党组织制度不健全，各种工作记录不规范，得0分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注：不能提供独立的党支部活动记录本的得0分，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组织党员开展活动情况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□2018、2019与2020年每年组织党员开展党建活动3次及以上、学习12次，得6分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□开展党建活动2次，得4分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□开展党建活动1次，得2分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□未开展党建活动，得0得分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□开展党建活动得到省级以上宣传或表彰，提供相关材料，得4分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注1：此处为等级制计分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注2：若才成立的党组织就查看当年记录，按照当年的记录情况给分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党组织发挥作用情况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查看党组织活动记录本、谈心谈话相关材料、荣誉证书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□将党员的教育监督管理纳入到党组织制度建设中，得5分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□党组织得到相关荣誉证书，得5分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□不符合以上要求，党员有违规违纪造成不良影响的并在等级评估中作为重要指标，得0分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注：此次为累加计分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338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人力资源</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党政领导干部兼任负责人情况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查看负责人简历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□理事、常务理事、负责人、名誉职务无领导干部兼任或有领导干部兼任但已按干管权限办理审批（备案）手续，得8分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□理事、常务理事、负责人、名誉职务有领导干部兼任，但未按干管权限办理审批（备案）手续，得0分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三类兼职人员需按干管权限报批（备案）：1.全省所有公务员和参照公务员管理人员中担任领导职务的人员，也包括非领导职务的人员；2.全省所有国有企业、国有金融企业等单位及其内设机构和子公司的领导人员，以及列入参照公务员法管理的事业单位及其内设机构的领导人员；3.全省各级各类党政机关退（离）休干部，国有企事业单位退（离）休领导人员。</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373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年龄届次符合规定</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查看负责人简历</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负责人年龄符合规定：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□负责人年龄符合规定（不超过70周岁），得3分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□负责人年龄不符合规定，得0分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负责人届次符合规定：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□届次符合规定，连任届次不超过2届，得2分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注：四级指标年龄届次符合规定得分=五级指标负责人年龄符合规定得分+负责人届次符合规定得分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秘书长专职</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查看秘书长简历，是否签订劳动合同</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□秘书长为专职，得5分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□秘书长为兼职，得0分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64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人事管理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专职工作人员数量</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查看人员名册、工资表、劳动合同</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□有专职工作人员大于等于3人，得7分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□有专职工作人员2人，得5分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□有专职工作人员1人，得3分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□无专职工作人员，得0分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劳动合同签订及薪酬管理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查看劳动合同签订与薪酬管理制度</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薪酬管理</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□建立完善的薪酬管理制度并落实，得5分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□建立薪酬管理制度不够详尽或者落实不到位，得2分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□未建立薪酬管理制度，得0分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劳动合同签订：</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□与全部专职工作人员签订劳动合同，得5分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□与部分或未与专职工作人员签订劳动合同，得0分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注1：提供与专职工作人员签订的劳动合同，且信息填写完整。</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注2：四级指标劳动合同签订及薪酬管理得分=薪酬管理得分+劳动合同签订得分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注3：五级指标薪酬管理、劳动合同签订计分方式为等级制计分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组织或参加法律法规或业务培训</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查看参加社会组织相关知识培训证明材料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2018、2019、2020年参加相关政府部门组织的社会组织相关知识培训情况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□5人次或以上，得5分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□4人次，得4分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□3人次，得3分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□2人次，得2分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□1人次，得1分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□未参加过培训，得0分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社会保险及住房公积金</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查看社保缴纳记录</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□为全部专职工作人员缴纳五险及购买住房公积金，得7分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□为全部专职工作人员缴纳五险，但未购买住房公积金，得4分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□为部分或没有为专职员工缴纳五险，得0分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注1：社会组织必须为所有专职工作人员购买五险，提供购买五险一金相关证明材料。</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w:t>
            </w: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管理制度</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查看档案、证章管理制度</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档案管理制度：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□档案管理制度详细、规范，得2分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□未制定档案管理制度，得0分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证章管理制度：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□证章管理制度详细、规范，得3分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□未制定证章管理制度，得0分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注：四级指标档案、证章管理制度得分=档案管理制度得分+证章管理制度得分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7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管理情况</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档案管理情况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□档案资料齐全、整理有序，档案交接手续完备或档案未发生交接情况，得4分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□档案资料不全，或档案资料整理无序、混乱，或未履行档案交接手续，得0分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证书管理情况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查看证书管理及相关情况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□法人登记证书均在有效期内且证书均保存完好保存在协会商会住所内，得2分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□有专人负责，得1分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注：此处为累加计分方式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7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印章、银行账户管理情况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查看印章、银行账户管理及相关情况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□制定有印章管理制度，得1分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□制定有银行账户管理制度，得1分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□印章使用符合规范并备案，得0.5分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□银行账户使用符合规范并备案，得0.5分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注：此处为累加计分方式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0" w:hRule="atLeast"/>
        </w:trPr>
        <w:tc>
          <w:tcPr>
            <w:tcW w:w="677"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财务管理</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合法运营</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经费来源和资金使用</w:t>
            </w:r>
            <w:r>
              <w:rPr>
                <w:rStyle w:val="6"/>
                <w:rFonts w:ascii="黑体" w:hAnsi="黑体" w:eastAsia="黑体" w:cs="黑体"/>
                <w:b w:val="0"/>
                <w:bCs w:val="0"/>
                <w:color w:val="auto"/>
                <w:kern w:val="0"/>
                <w:sz w:val="18"/>
                <w:szCs w:val="18"/>
              </w:rPr>
              <w:footnoteReference w:id="2"/>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查看经费来源和资金使用情况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□未发现违反国家政策法规、章程规定的事项，得20分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□存在以下事项其中任何1项，得0分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（1）存在侵占、私分、挪用资产、发生有失公允的关联交易、违规支付佣金或回扣、违规进行资金拆借</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（2）存在账外资金或小金库</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（3）存在违规收费行为，包括违规接受和使用捐赠、资助，捐赠专用收据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（4）存在使用不合规凭证或票据列支费用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资金列入符合规定的单位账簿</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查看资金来源和单位账簿</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□全部资金列入符合规定的单位账簿，得15分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□存在资金未列入符合规定的单位账簿，得0分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会计人员配备</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查看会计人员的</w:t>
            </w:r>
            <w:r>
              <w:rPr>
                <w:rStyle w:val="8"/>
                <w:rFonts w:ascii="黑体" w:hAnsi="黑体" w:eastAsia="黑体" w:cs="黑体"/>
                <w:b w:val="0"/>
                <w:bCs w:val="0"/>
                <w:color w:val="auto"/>
                <w:sz w:val="18"/>
                <w:szCs w:val="18"/>
                <w:lang w:eastAsia="zh-CN"/>
              </w:rPr>
              <w:t>相关会计专业资格</w:t>
            </w:r>
            <w:r>
              <w:rPr>
                <w:rStyle w:val="8"/>
                <w:rFonts w:ascii="黑体" w:hAnsi="黑体" w:eastAsia="黑体" w:cs="黑体"/>
                <w:b w:val="0"/>
                <w:bCs w:val="0"/>
                <w:color w:val="auto"/>
                <w:sz w:val="18"/>
                <w:szCs w:val="18"/>
              </w:rPr>
              <w:t>，后续教育及培训记录、工资表、社会保险缴纳记录等资料。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□配备2名及以上具有会计经验的专职工作人员负责财务工作，得5分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□由主管（挂靠）、代理记账公司等代理记账、或外单位人员兼任会计，得3分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□没有会计人员负责财务工作，得0分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会计人员岗位职责</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查看会计人员岗位职责的建立情况，会计人员的具体分工情况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□会计岗位设置合理且各岗位会计人员的职责明确，得3分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□会计岗位设置不合理或岗位职责不明确，得0分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会计机构负责人</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查看会计机构负责人的专业技术资格证书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□会计机构负责人具有会计师以上职称，得2分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□会计机构负责人具有助理会计师职称，得1分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□会计机构负责人无职称，得0分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4"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会计人员变动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□2018、2019、2020年度会计人员变动的交接手续齐全或未发生会计人员变动的，得2分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□2018、2019、2020年年度会计人员变动的交接手续不全，得0分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核算流程</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□会计核算按流程进行，得3分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账务处理</w:t>
            </w:r>
            <w:r>
              <w:rPr>
                <w:rStyle w:val="6"/>
                <w:rFonts w:ascii="黑体" w:hAnsi="黑体" w:eastAsia="黑体" w:cs="黑体"/>
                <w:b w:val="0"/>
                <w:bCs w:val="0"/>
                <w:color w:val="auto"/>
                <w:kern w:val="0"/>
                <w:sz w:val="18"/>
                <w:szCs w:val="18"/>
              </w:rPr>
              <w:footnoteReference w:id="3"/>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查看账簿及会计凭证、会计报表，检查社会团体账务处理是否符合《民间非营利组织会计制度》的规定</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口严格执行《民间非营利组织会计制度》，得15分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口执行《民间非营利组织会计制度》，但存在不符合《民间非营利组织会计制度》的情况，得8分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口未执行《民间非营利组织会计制度》或会计核算中存在弄虚作假行为，情节严重的，得0分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存在以下问题，该项不得分：1．执行《民间非营利组织会计制度》以外的会计制度或未按《民间非营利组织会计制度》的要求设置会计科目或自编的会计报表不符合《民间非营利组织会计制度》的规定；2．存在虚列支出、虚构成本、伪造单据、取得虚假票据等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会计电算化</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□会计核算实行电算化，得2分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□会计核算未实行电算化，得0分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会计档案管理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□会计档案有专人管理，存放有序、查阅方便，且建立会计档案保管清册（有立卷、归档、查阅、保管、销毁和移交等记录），得5分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做到会计档案有专人管理，存放有序、查阅方便，或未建立会计档案保管清册（有立卷、归档、查阅、保管、销毁和移交等记录），但会计凭证、账本、报表及其他会计资料装订整齐，顺序编号，签章齐全，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注：此处为等级制得分方式</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货币资金和实物资产管理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货币资金管理制度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查看货币资金管理、收支管理、支出审批等制度，检查货币管理制度内容是否完整，是否明确以下内容：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（1）建立货币资金岗位责任制，明确办理现金业务的不相容岗位互相分离、制约和监督机制；</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（2）建立规范的授权审批制度，对支出标准、审批权限有明确规定：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（3）建立单位负责人支出的互签互批制度的内容：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（4）建立现金盘点清查和银行对账制度。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口制定了货币资金管理制度，且较全面，得2分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口制定了货币资金管理制度，但不全面，得1分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口未制定货币资金管理制度，得0分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货币资金使用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查看账簿凭证等，检查货币资金资金使用是否做到以下事项：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（1）资金使用及审批手续齐全、符合制度的规定：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（2）按规定使用现金和银行存款，无超标准使用现金现象：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（3）现金管理做到日清月结，及时登记，无白条抵库或大额库存现金结余的现象：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（4）银行印鉴由不同人员保管：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（5）按月编制银行存款余额调节表：</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（6）按国家规定购汇和结汇。</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口执行情况规范，得8分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口执行情况较规范，得5分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口执行情况一般，得2分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7"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实物资产管理制度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查看资产管理制度，检查组织是否建立完善的资产管理制度，是否明确实物资产和无形资产的计量折旧及摊销政策，实物资产购置、验收、使用、保管、清查、处置等程序。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□制定了资产管理制度，且较全面，得2分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□口定了资产管理制度，但不全面，得1分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口未制定资产管理制度，得0分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实物资产使用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查看资产购置（接受捐赠）、领用（发放）、保管、盘点、核算等方面的管理情况，具体考模：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（1）实物资产购进、领用、保管、处置审批手续完善；</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（2）接受捐赠的物资价值确认，即公允价值证明文件充分；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（3）接受捐赠物资的接收或发放手续齐全或按规定进行核算；</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（4）对实物资产至少每年盘点一次：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（5）不存在账外资产。</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□执行情况规范，得8分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口执行情况较规范，得5分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口执行情况一般，得2分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注1：固定资产核算不正确：包括：（1）固定资产标准不明确；（2）将符合固定资产条件的资产做为费用核算；（3）未计提折旧或折旧计提不正确；（4）未及时进行盘号、盘盈、毁損、减值处理。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□建立了合法、安全、有效的风险防控管理制度，得2分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8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投资管理</w:t>
            </w:r>
            <w:r>
              <w:rPr>
                <w:rStyle w:val="6"/>
                <w:rFonts w:ascii="黑体" w:hAnsi="黑体" w:eastAsia="黑体" w:cs="黑体"/>
                <w:b w:val="0"/>
                <w:bCs w:val="0"/>
                <w:color w:val="auto"/>
                <w:kern w:val="0"/>
                <w:sz w:val="18"/>
                <w:szCs w:val="18"/>
              </w:rPr>
              <w:footnoteReference w:id="4"/>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投资履行决策程序：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履行了可研、集体决策、后续监督等管理程序，且符合行业协会的宗旨，维护行业协会的信誉、项目（全部）资料完整，其中：进行委托投资的，应当委托银行或者具有资质的金融机构进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口上两个年度或本届理事会期间新发生的各种投资项目未履行可研、集体决策、后续监督等管理程序，或投资项目（全部）资料不完整，得3分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未履行可研、集体决策、后续监督等管理程序，且不符合行业协会的宗旨，未维护行业协会的信誉，投资项目（全部）资料不完整，进行委托投资但没有委托银行或者具有资质的金融机构进行，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核算投资，损益或减值准备情况：</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口按规定采用正确方法核算投资、收益、损失或减值准备，且按权责发生制计算的年投资收益率不低于5％，得5分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口未按规定采用正确方法核算投资、收益、损失或减值准备，且按权责发生制计算的年投资收益率低于5％，得0分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注1：无投资的不扣分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注2：四级指标投资管理得分=投资履行决策程序得分+核算投资，损益或减值准备情况得分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注2：投资履行决策程序得分计分方式为等级制计分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业务收支</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收入管理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查看相关收入票据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□各项收入严格遵守和执行国家有关规定，合理收费。且各项收入必须全部入账，不得坐支现金和帐外设账，得5分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□协会收取会费，必须使用国家规定的专用正式发票，并交会计人员及时入帐，不得坐支，得5分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注：此处得分为累加计分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支出管理</w:t>
            </w:r>
            <w:r>
              <w:rPr>
                <w:rStyle w:val="6"/>
                <w:rFonts w:ascii="黑体" w:hAnsi="黑体" w:eastAsia="黑体" w:cs="黑体"/>
                <w:b w:val="0"/>
                <w:bCs w:val="0"/>
                <w:color w:val="auto"/>
                <w:kern w:val="0"/>
                <w:sz w:val="18"/>
                <w:szCs w:val="18"/>
              </w:rPr>
              <w:footnoteReference w:id="5"/>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查看会计凭证及附件所体现的审批记录</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制度中对支付标准、审批权限规定情况：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□所建立的费用或收支管理制度中对支付标准、审批权限有明确规定，得3分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□所建立的费用或收支管理制度中未对支付标准、审批权限有明确规定，得0分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支出审批手续情况：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□各项支出审批手续齐全，符合制度要求，得3分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□各项支出审批手续不齐全，不符合制度要求，得0分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负责人经手开支的监督情况：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□单位负责人经手的开支，由其他领导签章进行审批，得4分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□单位负责人经手的开支未由其他领导签章进行审批，而是由其他人做经手人、本人负责自行审批，得0分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注：四级指标支出管理得分=制度中对支付标准、审批权限规定情况得分+支出审批手续情况得分+负责人经手开支的监督情况</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443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会费管理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会费标准及层级</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查看会费标准的制定、收取管理、监督情况</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会费标准制定情况：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□会费标准制定或修改经会员（会员代表）大会无记名表决通过，得5分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□会费标准制定或修改未经会员（会员代表）大会无记名表决通过，得0分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会费档次执行合理：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□会费档次设置合理且不超过4档，得5分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□会费档次设置不合理，或超过4挡，得0分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注1：在实际中，会费以往设置超过4档还未修改，但会费执行为4档的，提供佐证材料。会费档次执行合理此项可得分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注2：四级指标会费标准及层级=会费标准制定情况得分+会费档次执行合理得分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会费基本服务项目</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□会费基本服务项目清晰列出的，得5分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注：未设分支机构的不扣分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分支机构财务管理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□制定有分支机构财务专项管理办法，得2分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管理情况</w:t>
            </w:r>
            <w:r>
              <w:rPr>
                <w:rStyle w:val="6"/>
                <w:rFonts w:ascii="黑体" w:hAnsi="黑体" w:eastAsia="黑体" w:cs="黑体"/>
                <w:b w:val="0"/>
                <w:bCs w:val="0"/>
                <w:color w:val="auto"/>
                <w:kern w:val="0"/>
                <w:sz w:val="18"/>
                <w:szCs w:val="18"/>
              </w:rPr>
              <w:footnoteReference w:id="6"/>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查看分支机构财务管理、监督、核算情况</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分支机构的经济活动开展情况：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□分支机构的所有经济活动均在本部批准或授权的范围内开展，如：未独立收取会费、无对外投资、未开设银行账户等，得4分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□分支机构的经济活动未全部在本部批准或授权的范围内开展，得0分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对分支机构财务监管情况：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□履行了对分支机构的监督和管理职责，建立的分支机构的会计核算办法和财务管理制度得到有效执行，得4分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□未履行对分支机构的监督和管理职责，未建立分支机构的会计核算办法和财务管理制度，得0分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注1.未设分支机构的不扣分</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注2</w:t>
            </w:r>
            <w:r>
              <w:rPr>
                <w:rStyle w:val="9"/>
                <w:rFonts w:ascii="黑体" w:hAnsi="黑体" w:eastAsia="黑体" w:cs="黑体"/>
                <w:b w:val="0"/>
                <w:bCs w:val="0"/>
                <w:color w:val="auto"/>
                <w:sz w:val="18"/>
                <w:szCs w:val="18"/>
              </w:rPr>
              <w:t>.四级指标管理情况得分=分支机构的经济活动开展情况得分+对分支机构财务监管情况得分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highlight w:val="yellow"/>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税收和票据</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纳税管理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查看纳税登记办理、纳税申报、缴纳和核算情况</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税务登记情况：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□按规定办理税务登记、变更手续，得3分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□未按规定办理税务登记、变更手续，得0分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各项税款申报、缴纳情况：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□按规定向税务部门申报、缴纳，得3分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□未按规定申报、缴纳，得0分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注：四级指标纳税管理得分=税务登记情况得分+各项税款申报、缴纳情况</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票据管理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查看发票、会费收据、捐赠专用收据、银行收据的购买、使用情况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□未发现使用不合规票据作为报销凭证，得5分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□发现使用不合规票据作为报销凭证，得0分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4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会费收据使用</w:t>
            </w:r>
            <w:r>
              <w:rPr>
                <w:rStyle w:val="6"/>
                <w:rFonts w:ascii="黑体" w:hAnsi="黑体" w:eastAsia="黑体" w:cs="黑体"/>
                <w:b w:val="0"/>
                <w:bCs w:val="0"/>
                <w:color w:val="auto"/>
                <w:kern w:val="0"/>
                <w:sz w:val="18"/>
                <w:szCs w:val="18"/>
              </w:rPr>
              <w:footnoteReference w:id="7"/>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查看会费收据存根、并对比会费标准与账面体现的会费收取情况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□未发现存在使用会费专用收据收取其他业务收入（例如：会议费、培训、展览、赞助、课题等）情况，得5分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□发现存在使用会费专用收据收取其他业务收入，得0分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93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捐赠票据使用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查看领购、使用、管理捐赠票据方面的相关资料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□捐赠票据领购、使用规范，得3分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注：未发生使用捐赠票据情形的，得满分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□理事会按规定每年向或会员（会员代表）大会报告财务状况，得5分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□理事会每年只向会员（会员代表）大会报告会费收取及使用情况，得3分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□理事会未按规定向会员（会员代表）大会报告财务状况，得0分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财务报告编制</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查看2018、2019年度的财务报告</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□年度财务报告内容完备，得5分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□年度财务报告内容不完备，得2分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□无年度财务报告，得0分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年度财务报告包括审计报告及报表、报表附注、财务情况说明书等内容。财务情况说明书应包括业务及财务活动基本情况，如资产状况和财务收支情况，上一年度工作计划或预算完成情况及差异分析，下一年度计划及预算、财务管理状况及存在的问题、对社团有重大影响的其他事项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关联方及关联交易管理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关联方及关联交易管理制度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社会团体关联方及关联交易管理制度，检查社会团体是否建立了关联方及关联交易管理制度，所建立制度内容是否全面，是否明确关联交易的批准程序、应禁止的关联交易的种类、关联方及关联交易披露的要求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口制定了关联方管理制度，内容全面，得3分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口制定了关联方管理制度，但内容不全面，得1分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口未制定关联方管理制度，得0分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注：1．关联方主要包括：（1）发起人（2）社会团体理事主要来源单位</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2、关联交易是指社会团体与上述个人或组织发生的交易。</w:t>
            </w:r>
          </w:p>
        </w:tc>
        <w:tc>
          <w:tcPr>
            <w:tcW w:w="712"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关联交易管理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根据上述关联方及关联交易说明，查看社会团体账簿、审计报告及其他资料，了解社会团体与关联方发生交易情况，判断是与关联方发生的交易是否公允，检查社会团体是否存在以下禁止发生的关联交易行为：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（1）承担了应归属于关联方的成本或费用；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（2）为关联方开具没有真实交易背景的商业承兑汇票；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（3）代关联方承担或偿还债务；</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（4）为关联方提供担保；</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（5）其他损害社会团体利益的交易行为；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口未发现存在以上禁止行为，得3分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口关联交易的发生经理事会审批，未发现存在关联方资金占用或有失公允的关联交易情况，得2分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口发现存在以上禁止行为，或关联交易的发生未经理事会审批，发现存在关联方资金占用或有失公允的关联交易情况，得0分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注1：有失公允的关联交易及关联方占用资金，包括但不限于：</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（1）以高于公允价值的价格向关联方购买物资、服务、租赁、许可协议等：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（2）以低于公允价值的价格向关联方出售物资、服务、租赁、许可协议等：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（3）明显低于市场正常收益水平或无偿地将资金拆借给关联方使用：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（4）接受关联方捐赠的价值不公允的非货币资产。</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712"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关联方及关联交易披露</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查看社会团体关联方及关联交易披露情况，判断社会团体的关联方及关联交易信息是否得到充分披露。</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口在年度工作报告、网站或其他媒体上披露了关联方及关联交易，且披露事项及内容完整，得3分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口在年度工作报告、网站或其他媒体上披露了关联方及关联交易，但披露事项或内容不完整，得1分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口未在年度工作报告、网站或其他媒体上披露关联方及关联交易，得0分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财务监督</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监督制度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□制定有财务监督制度，得2分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监事监督</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□投资活动、年度经费收支预估算情况接受理事、监事、捐款人的监督，得3分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财务报表审计</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查看上2018、2019年度的年度审计报告</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□能提供近2年年度审计报告，得3分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□不能提供近2年审计报告，得0分 </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换届、离任审计</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查看最近一届离任或换届审计报告</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□最近一届法人离任或换届按要求进行财务审计或未发生换届或离任行为，得3分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□未按要求进行法人离任或换届财务审计，得0分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0" w:hRule="atLeast"/>
        </w:trPr>
        <w:tc>
          <w:tcPr>
            <w:tcW w:w="67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工作绩效（323分）</w:t>
            </w: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提供服务</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行业信息服务</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行业调查研究</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查看行业调查</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□定期开展调查工作，且调查资料详细规范，得8分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□定期开展调查工作，但调查资料较为简单，得4分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□不定期开展过调查工作，得2分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□未开展过工作，得0分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highlight w:val="yellow"/>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行业统计工作</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查看行业统计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□定期开展统计工作，且统计资料详细规范，得12分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□定期开展统计工作，但统计资料较为简单，得8</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□不定期开展过统计工作，得4分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□未开展过工作，得0分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highlight w:val="yellow"/>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行业信息收集与发布</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查看行业信息收集及发布信息</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□定期收集行业信息，及时发布行业调查、统计信息已形成制度性运作，得12分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□定期发布行业调查、统计信息，得8分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□不定期发布行业调查、统计信息，得4分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□没发布过行业调查、统计信息，得0分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highlight w:val="yellow"/>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会展、培训及咨询服务</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会议及展览活动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□组织会员参加行业会议、展览、展销活动2次或以上，得15分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□组织会员参加行业会议、展览、展销活动1次，得10分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□协会主办过展览、展销活动，得5分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组织行业培训</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根据经济社会发展需要，组织会员开展人才、技术、职业、管理、法规等行业培训</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□组织会员开展行业培训3次或以上，得10分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□组织会员开展行业培训2次，得7分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□组织会员开展行业培训1次，得4分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highlight w:val="yellow"/>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提供咨询服务</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□面向社会举办咨询宣传活动，得4分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□长期向会员提供咨询服务，得4分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政策法规制修订、承接政府项目</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参与制定法律法规规章、提出政策建议</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□参与制定法律法规规章，得4分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□提出政策建议，得4分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□政策建议被采用，得4分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参与制定相关产业政策、行业发展规划</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□参与制定相关产业政策、行业发展规划，得10分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开展标准制定工作</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□协助政府制定、修改行业标准，得8分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□加强会员素质和行业自律，得7分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承接政府职能、委托项目和购买服务</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□承接政府职能，得4分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□参与政府委托项目，得3分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□向政府提供购买服务，得3分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反映诉求</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维护权益</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协调行业内外关系、反映会员和行业诉求</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□协调行业内外关系，得5分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□反映会员诉求，得5分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□反映行业诉求，得5分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建立产业预警机制、开展贸易救济活动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□建立产业预警机制，得4分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□开展贸易救济活动，得4分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行业自律</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规范行为</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自律公约制定及发布</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□制定有自律公约，得5分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□自律公约发布后得到广泛遵守，得10分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行业职业道德准则制定及发布</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□制定有行业职业道德准则，得5分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□发布后得到认同与遵守，得5分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009"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配合有关部门开展质量和品牌建设</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□配合有关部门开展质量和品牌建设，得5分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诚信自律建设</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□按有关部门要求，进行整改并整改完成的，得5分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□按有关部门要求，未进行整改或整改未完成的，得0分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收费清理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□强制入会和强制收费</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□利用法定职责和行政机关委托授权事项违规收费</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□通过评比达标表彰活动收费</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□通过职业资格认定违规收费</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□严禁只收费不服务或多头重复收费</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注：1.出现以上任一情形的不得分。2.未出现以上全部情形的，得满分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行业信用建设</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□制定有完善的行业信用建设体系，得5分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□体系加以运用并效果良好，得2分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行业激励措施</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□按规定开展评比达标表彰活动，得5分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□建立行业激励措施，得10分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□开展相应的行业性激励活动，得5分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注：不符合以上要求的，不得分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会员管理</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会员服务与管理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会员管理</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□有明确的会员管理办法，得5分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□设有专门的负责人，得5分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会员服务</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□定期对会员培训，每年大于等于2次，得10分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□每年1次，得5分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会费收缴情况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□落实国家“六稳”“六保”相关政策，实行会费减免，得10分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社会影响力</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社会影响力</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合作项目</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□拥有2个及以上行业合作项目，得20分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□拥有1个，得10分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交流活动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□在规定允许的范围内积极参与行业相关交流活动，得15分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信息公开与宣传</w:t>
            </w: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平台建设</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信息平台种类</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□信息平台种类有3种或以上，得8分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□信息平台种类有2种，得6分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□信息平台种类有1种，得4分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网站报刊</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拥有自办门户网站、网页、报刊三项中：</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□拥有网页，得4分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□拥有报刊，得4分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□新闻发言人专职，得8分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□新闻发言人兼职，得4分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□无新闻发言人，得0分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公开内容</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基本信息（登记事项、章程、组织机构、负责人等）</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向社会公开基本信息（包括登记事项、章程、组织机构、负责人等）：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□登记事项，得4分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□章程，得2分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年度工作报告</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□有年度工作报告，得3分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财务工作报告</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□有年度财务工作报告，得2分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收费信息制度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□有明确收费信息制度且收费信息制度透明，得10分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030" w:hRule="atLeast"/>
        </w:trPr>
        <w:tc>
          <w:tcPr>
            <w:tcW w:w="677"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社会责任（100分）</w:t>
            </w:r>
          </w:p>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服务社会</w:t>
            </w:r>
          </w:p>
        </w:tc>
        <w:tc>
          <w:tcPr>
            <w:tcW w:w="893"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突发事件处理</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在重大突发事件中发挥作用情况</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□结合业务特点，利用专业优势参与救援，或在突发公共事件中进行解疑释惑、科普宣传，资金、物资捐赠等工作的，得15分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□否则，得0分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725" w:hRule="atLeast"/>
        </w:trPr>
        <w:tc>
          <w:tcPr>
            <w:tcW w:w="677"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9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服务民生</w:t>
            </w:r>
          </w:p>
        </w:tc>
        <w:tc>
          <w:tcPr>
            <w:tcW w:w="175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利用自身优势服务社区居民或社会公众，救助弱势群体</w:t>
            </w:r>
          </w:p>
        </w:tc>
        <w:tc>
          <w:tcPr>
            <w:tcW w:w="7841"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□利用自身优势，服务社区居民或社会公众的，救助弱势群体，制定公益活动计划、公益活动支出情况、公益活动开展情况。得15分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□未开展相关公益活动和服务，得0分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5" w:hRule="atLeast"/>
        </w:trPr>
        <w:tc>
          <w:tcPr>
            <w:tcW w:w="677"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9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93"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75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利用组织优势参与社会治理</w:t>
            </w:r>
          </w:p>
        </w:tc>
        <w:tc>
          <w:tcPr>
            <w:tcW w:w="7841"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□在巩固脱贫攻坚成果、参与乡村振兴、城乡社区治理等服务方面，积极参与发挥重要作用，得15分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□作用成效一般的，得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□未参与或承担社会责任，得0分。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820" w:hRule="atLeast"/>
        </w:trPr>
        <w:tc>
          <w:tcPr>
            <w:tcW w:w="677"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9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93"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跟随政府指引</w:t>
            </w:r>
          </w:p>
        </w:tc>
        <w:tc>
          <w:tcPr>
            <w:tcW w:w="175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w:t>
            </w:r>
          </w:p>
        </w:tc>
        <w:tc>
          <w:tcPr>
            <w:tcW w:w="7841" w:type="dxa"/>
            <w:tcBorders>
              <w:tl2br w:val="nil"/>
              <w:tr2bl w:val="nil"/>
            </w:tcBorders>
            <w:noWrap w:val="0"/>
            <w:vAlign w:val="center"/>
          </w:tcPr>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□围绕政府中心工作发挥作用，社会效应显著的，得15分</w:t>
            </w:r>
          </w:p>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□社会效应一般的，得7分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□社会效应不明显，不得分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035" w:hRule="atLeast"/>
        </w:trPr>
        <w:tc>
          <w:tcPr>
            <w:tcW w:w="677"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公众意识</w:t>
            </w:r>
          </w:p>
        </w:tc>
        <w:tc>
          <w:tcPr>
            <w:tcW w:w="893"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w:t>
            </w:r>
          </w:p>
        </w:tc>
        <w:tc>
          <w:tcPr>
            <w:tcW w:w="175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安全和后勤保障</w:t>
            </w:r>
          </w:p>
        </w:tc>
        <w:tc>
          <w:tcPr>
            <w:tcW w:w="7841"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举行重大活动中：</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□有安全和后勤保障完整方案，得4分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□有活动相关许可文件，得3分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□志愿义工有安全责任险等，得3分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1885" w:hRule="atLeast"/>
        </w:trPr>
        <w:tc>
          <w:tcPr>
            <w:tcW w:w="677"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9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93"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其它</w:t>
            </w:r>
          </w:p>
        </w:tc>
        <w:tc>
          <w:tcPr>
            <w:tcW w:w="175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倡导会员履行社会责任，利用行业优势服务社会公众</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□能提供多次倡导会员履行社会责任，利用行业优势服务社会公众的证明材料且社会反响较好、社会效应显著，得10分</w:t>
            </w:r>
          </w:p>
          <w:p>
            <w:pPr>
              <w:spacing w:beforeLines="0" w:afterLines="0" w:line="400" w:lineRule="exact"/>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□作用成效一般的，得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□未倡导会员履行社会责任或服务社会公众，得0分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hRule="atLeast"/>
        </w:trPr>
        <w:tc>
          <w:tcPr>
            <w:tcW w:w="677"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796"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公益活动</w:t>
            </w:r>
          </w:p>
        </w:tc>
        <w:tc>
          <w:tcPr>
            <w:tcW w:w="893"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1758"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□每年组织或参与慈善、救助、环保等公益活动3次（含）以上，得20分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□每年组织或参与慈善、救助、环保等公益活动2次，得10分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□每年组织或参与慈善、救助、环保等公益活动1次，得5分</w:t>
            </w:r>
          </w:p>
          <w:p>
            <w:pPr>
              <w:spacing w:beforeLines="0" w:afterLines="0" w:line="400" w:lineRule="exact"/>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□每年未组织或参与慈善、救助、环保等公益活动，得0分</w:t>
            </w:r>
          </w:p>
        </w:tc>
        <w:tc>
          <w:tcPr>
            <w:tcW w:w="71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250" w:hRule="atLeast"/>
        </w:trPr>
        <w:tc>
          <w:tcPr>
            <w:tcW w:w="677"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社会评价（100分）</w:t>
            </w: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内部评价</w:t>
            </w: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会员评价</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规范管理、民主办会、接受监督、作用发挥、会费管理、行业影响等</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会员对协会总体评价：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2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理事评价</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规范管理、民主办会、接受监督、作用发挥、领导班子、财务公开等</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理事、常务理事对协会总体评价：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45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工作人员评价</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规范管理、民主办会、作用发挥、领导班子、职业发展等</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工作人员对协会总体评价：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43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外部评价</w:t>
            </w: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年检情况、规范管理、作用发挥、脱贫攻坚、社会影响等</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登记管理机关对协会总体评价：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rPr>
          <w:trHeight w:val="264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业务主管单位或党建工作机构</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规范管理、党建工作、领导班子、发挥作用、社会影响等</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业务主管单位或党建工作机构对协会总体评价：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其他有关部门</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违法违规失信记录</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□审计、税务、市场、公安等相关部门无违法违规失信记录，得15分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□审计、税务、市场、公安等相关部门有违法违规失信记录，得0分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注：社会组织有审计、税务、市场、公安等相关部门违法违规失信记录，不得评为3A及以上</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负责人、理事会成员违规失信记录</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□负责人（会长、监事长、副会长、秘书长）、理事会成员等，未被列入失信被执行人名单，得10分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□负责人（会长、监事长、副会长、秘书长）未被列入失信被执行人名单，但理事会成员有被列入失信被执行人名单，得5分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□负责人（会长、监事长、副会长、秘书长）被列入失信被执行人名单，得0分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注1：若会长、秘书长有被列入失信被执行人名单情况，则不能评为3A及以上</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5"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媒体机构</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对行业协会的非营利性、诚信、公共服务型、创新性等方面的综合评价与认可度</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2018年、2019年、2020年电视、报纸、新媒体等对协会评价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□受到媒体正面宣传报道，得10分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□未受到媒体正面或负面报道，得5分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□受到媒体负面宣传报道，得0分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677"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9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93"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表彰奖励情况</w:t>
            </w:r>
          </w:p>
        </w:tc>
        <w:tc>
          <w:tcPr>
            <w:tcW w:w="1758"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政府部门表彰奖励</w:t>
            </w:r>
          </w:p>
        </w:tc>
        <w:tc>
          <w:tcPr>
            <w:tcW w:w="7841"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□受到过政府等有关部门表彰奖励2次或以上，得10分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□受到过政府等有关部门表彰奖励1次，得5分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□未受到过政府等有关部门表彰奖励，得0分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1965" w:type="dxa"/>
            <w:gridSpan w:val="5"/>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总分值合计</w:t>
            </w:r>
          </w:p>
        </w:tc>
        <w:tc>
          <w:tcPr>
            <w:tcW w:w="71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1000</w:t>
            </w:r>
          </w:p>
        </w:tc>
        <w:tc>
          <w:tcPr>
            <w:tcW w:w="814"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683"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bl>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分数等级说明：</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val="en-US" w:eastAsia="zh-CN"/>
        </w:rPr>
        <w:t>本次社会组织等级评估总分为1000分，由评估指标表得分与评估委员会给分组成。评估指标表占评估总分的89%，折算后满分为890分。评估委员会给分占评估总分的11%，满分为110分，最终评估委员会给分为各委员给分平均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社会组织评估等级5A，指标表得分与评估委员会给分总分900分以上（含900分）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社会组织评估等级4A，指标表得分与评估委员会给分总分800-899分（含800分）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社会组织评估等级3A，指标表得分与评估委员会给分总分700-799分（含700分）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社会组织评估等级2A，指标表得分与评估委员会给分总分650-699分（含650分）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社会组织评估等级1A，指标表得分与评估委员会给分总分600-649分（含600分）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本次评估等级有效期5年，本年评估等级未达到3A，下一年度不可再参加评估，需等5年有效期过后才能重新参加评估</w:t>
      </w:r>
    </w:p>
    <w:p>
      <w:pPr>
        <w:pStyle w:val="3"/>
        <w:spacing w:before="0" w:after="0" w:line="400" w:lineRule="exact"/>
        <w:rPr>
          <w:rFonts w:hint="eastAsia"/>
          <w:b w:val="0"/>
          <w:bCs w:val="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小标宋">
    <w:altName w:val="苹方-简"/>
    <w:panose1 w:val="03000509000000000000"/>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1">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2">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3">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4">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5">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6">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7">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FF2D5"/>
    <w:rsid w:val="FBDFF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 w:type="character" w:customStyle="1" w:styleId="8">
    <w:name w:val="font61"/>
    <w:basedOn w:val="5"/>
    <w:qFormat/>
    <w:uiPriority w:val="0"/>
    <w:rPr>
      <w:rFonts w:hint="eastAsia" w:ascii="宋体" w:hAnsi="宋体" w:eastAsia="宋体" w:cs="宋体"/>
      <w:color w:val="FF0000"/>
      <w:sz w:val="28"/>
      <w:szCs w:val="28"/>
      <w:u w:val="none"/>
    </w:rPr>
  </w:style>
  <w:style w:type="character" w:customStyle="1" w:styleId="9">
    <w:name w:val="font51"/>
    <w:basedOn w:val="5"/>
    <w:qFormat/>
    <w:uiPriority w:val="0"/>
    <w:rPr>
      <w:rFonts w:hint="eastAsia" w:ascii="宋体" w:hAnsi="宋体" w:eastAsia="宋体" w:cs="宋体"/>
      <w:b/>
      <w:bCs/>
      <w:color w:val="000000"/>
      <w:sz w:val="28"/>
      <w:szCs w:val="28"/>
      <w:u w:val="none"/>
    </w:rPr>
  </w:style>
  <w:style w:type="character" w:customStyle="1" w:styleId="10">
    <w:name w:val="font31"/>
    <w:basedOn w:val="5"/>
    <w:qFormat/>
    <w:uiPriority w:val="0"/>
    <w:rPr>
      <w:rFonts w:hint="eastAsia" w:ascii="宋体" w:hAnsi="宋体" w:eastAsia="宋体" w:cs="宋体"/>
      <w:b/>
      <w:bCs/>
      <w:color w:val="000000"/>
      <w:sz w:val="28"/>
      <w:szCs w:val="28"/>
      <w:u w:val="none"/>
    </w:rPr>
  </w:style>
  <w:style w:type="character" w:customStyle="1" w:styleId="11">
    <w:name w:val="font71"/>
    <w:basedOn w:val="5"/>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2021-08-04T14:49:00Z</dcterms:created>
  <dc:creator>xlw</dc:creator>
  <cp:lastModifiedBy>xlw</cp:lastModifiedBy>
  <dcterms:modified xsi:type="dcterms:W3CDTF">2021-08-04T14:49:42Z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