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0"/>
          <w:szCs w:val="30"/>
        </w:rPr>
      </w:pPr>
    </w:p>
    <w:tbl>
      <w:tblPr>
        <w:tblStyle w:val="6"/>
        <w:tblpPr w:leftFromText="180" w:rightFromText="180" w:vertAnchor="text" w:horzAnchor="page" w:tblpX="2588" w:tblpY="-37"/>
        <w:tblW w:w="22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5" w:hRule="atLeast"/>
        </w:trPr>
        <w:tc>
          <w:tcPr>
            <w:tcW w:w="1526" w:type="dxa"/>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经济建设</w:t>
            </w:r>
          </w:p>
        </w:tc>
        <w:tc>
          <w:tcPr>
            <w:tcW w:w="709" w:type="dxa"/>
          </w:tcPr>
          <w:p>
            <w:pPr>
              <w:jc w:val="center"/>
              <w:rPr>
                <w:rFonts w:ascii="Times New Roman" w:hAnsi="Times New Roman"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5" w:hRule="atLeast"/>
        </w:trPr>
        <w:tc>
          <w:tcPr>
            <w:tcW w:w="1526" w:type="dxa"/>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文化建设</w:t>
            </w:r>
          </w:p>
        </w:tc>
        <w:tc>
          <w:tcPr>
            <w:tcW w:w="709" w:type="dxa"/>
          </w:tcPr>
          <w:p>
            <w:pPr>
              <w:jc w:val="center"/>
              <w:rPr>
                <w:rFonts w:ascii="Times New Roman" w:hAnsi="Times New Roman"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trPr>
        <w:tc>
          <w:tcPr>
            <w:tcW w:w="1526" w:type="dxa"/>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社会建设</w:t>
            </w:r>
          </w:p>
        </w:tc>
        <w:tc>
          <w:tcPr>
            <w:tcW w:w="709" w:type="dxa"/>
          </w:tcPr>
          <w:p>
            <w:pPr>
              <w:jc w:val="center"/>
              <w:rPr>
                <w:rFonts w:ascii="Times New Roman" w:hAnsi="Times New Roman" w:eastAsiaTheme="minorEastAsia"/>
                <w:sz w:val="18"/>
                <w:szCs w:val="18"/>
              </w:rPr>
            </w:pPr>
            <w:r>
              <w:rPr>
                <w:rFonts w:ascii="Times New Roman" w:hAnsi="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trPr>
        <w:tc>
          <w:tcPr>
            <w:tcW w:w="1526" w:type="dxa"/>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政治建设</w:t>
            </w:r>
          </w:p>
        </w:tc>
        <w:tc>
          <w:tcPr>
            <w:tcW w:w="709" w:type="dxa"/>
          </w:tcPr>
          <w:p>
            <w:pPr>
              <w:jc w:val="center"/>
              <w:rPr>
                <w:rFonts w:ascii="Times New Roman" w:hAnsi="Times New Roman"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trPr>
        <w:tc>
          <w:tcPr>
            <w:tcW w:w="1526" w:type="dxa"/>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生态文明建设</w:t>
            </w:r>
          </w:p>
        </w:tc>
        <w:tc>
          <w:tcPr>
            <w:tcW w:w="709" w:type="dxa"/>
          </w:tcPr>
          <w:p>
            <w:pPr>
              <w:jc w:val="center"/>
              <w:rPr>
                <w:rFonts w:ascii="Times New Roman" w:hAnsi="Times New Roman" w:eastAsiaTheme="minorEastAsia"/>
                <w:sz w:val="18"/>
                <w:szCs w:val="18"/>
              </w:rPr>
            </w:pPr>
          </w:p>
        </w:tc>
      </w:tr>
    </w:tbl>
    <w:p>
      <w:pPr>
        <w:rPr>
          <w:vanish/>
        </w:rPr>
      </w:pPr>
    </w:p>
    <w:tbl>
      <w:tblPr>
        <w:tblStyle w:val="6"/>
        <w:tblpPr w:leftFromText="180" w:rightFromText="180" w:vertAnchor="text" w:horzAnchor="page" w:tblpX="5177" w:tblpY="-7"/>
        <w:tblW w:w="22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1"/>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5" w:hRule="atLeast"/>
        </w:trPr>
        <w:tc>
          <w:tcPr>
            <w:tcW w:w="1271" w:type="dxa"/>
          </w:tcPr>
          <w:p>
            <w:pPr>
              <w:jc w:val="center"/>
              <w:rPr>
                <w:rFonts w:ascii="Times New Roman" w:hAnsi="Times New Roman"/>
                <w:szCs w:val="21"/>
              </w:rPr>
            </w:pPr>
            <w:r>
              <w:rPr>
                <w:rFonts w:hint="eastAsia" w:ascii="Times New Roman" w:hAnsi="Times New Roman"/>
                <w:szCs w:val="21"/>
              </w:rPr>
              <w:t>集体提案</w:t>
            </w:r>
          </w:p>
        </w:tc>
        <w:tc>
          <w:tcPr>
            <w:tcW w:w="992" w:type="dxa"/>
          </w:tcPr>
          <w:p>
            <w:pPr>
              <w:jc w:val="center"/>
              <w:rPr>
                <w:rFonts w:ascii="Times New Roman" w:hAns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1" w:hRule="atLeast"/>
        </w:trPr>
        <w:tc>
          <w:tcPr>
            <w:tcW w:w="1271" w:type="dxa"/>
          </w:tcPr>
          <w:p>
            <w:pPr>
              <w:jc w:val="center"/>
              <w:rPr>
                <w:rFonts w:ascii="Times New Roman" w:hAnsi="Times New Roman"/>
                <w:szCs w:val="21"/>
              </w:rPr>
            </w:pPr>
            <w:r>
              <w:rPr>
                <w:rFonts w:hint="eastAsia" w:ascii="Times New Roman" w:hAnsi="Times New Roman"/>
                <w:szCs w:val="21"/>
              </w:rPr>
              <w:t>委员提案</w:t>
            </w:r>
          </w:p>
        </w:tc>
        <w:tc>
          <w:tcPr>
            <w:tcW w:w="992" w:type="dxa"/>
          </w:tcPr>
          <w:p>
            <w:pPr>
              <w:jc w:val="center"/>
              <w:rPr>
                <w:rFonts w:ascii="Times New Roman" w:hAnsi="Times New Roman"/>
                <w:szCs w:val="21"/>
              </w:rPr>
            </w:pPr>
            <w:r>
              <w:rPr>
                <w:rFonts w:ascii="Times New Roman" w:hAnsi="Times New Roman"/>
                <w:szCs w:val="21"/>
              </w:rPr>
              <w:t>√</w:t>
            </w:r>
          </w:p>
        </w:tc>
      </w:tr>
    </w:tbl>
    <w:p>
      <w:pPr>
        <w:ind w:right="-340" w:rightChars="-162"/>
        <w:rPr>
          <w:sz w:val="28"/>
          <w:szCs w:val="28"/>
        </w:rPr>
      </w:pPr>
      <w:r>
        <w:rPr>
          <w:rFonts w:hint="eastAsia"/>
          <w:sz w:val="24"/>
          <w:szCs w:val="24"/>
        </w:rPr>
        <w:t>类</w:t>
      </w:r>
      <w:r>
        <w:rPr>
          <w:rFonts w:hint="eastAsia"/>
          <w:sz w:val="28"/>
          <w:szCs w:val="28"/>
        </w:rPr>
        <w:t xml:space="preserve">                                           </w:t>
      </w:r>
      <w:r>
        <w:rPr>
          <w:rFonts w:hint="eastAsia"/>
          <w:sz w:val="32"/>
          <w:szCs w:val="32"/>
        </w:rPr>
        <w:t xml:space="preserve">第 </w:t>
      </w:r>
      <w:r>
        <w:rPr>
          <w:rFonts w:ascii="Times New Roman" w:hAnsi="Times New Roman"/>
          <w:sz w:val="30"/>
          <w:szCs w:val="30"/>
        </w:rPr>
        <w:t>120300303</w:t>
      </w:r>
      <w:r>
        <w:rPr>
          <w:sz w:val="32"/>
          <w:szCs w:val="32"/>
        </w:rPr>
        <w:t xml:space="preserve"> </w:t>
      </w:r>
      <w:r>
        <w:rPr>
          <w:rFonts w:hint="eastAsia"/>
          <w:sz w:val="32"/>
          <w:szCs w:val="32"/>
        </w:rPr>
        <w:t>号</w:t>
      </w:r>
    </w:p>
    <w:p>
      <w:pPr>
        <w:rPr>
          <w:sz w:val="24"/>
          <w:szCs w:val="24"/>
        </w:rPr>
      </w:pPr>
      <w:r>
        <w:rPr>
          <w:rFonts w:hint="eastAsia"/>
          <w:sz w:val="24"/>
          <w:szCs w:val="24"/>
        </w:rPr>
        <w:t>别</w:t>
      </w:r>
    </w:p>
    <w:p>
      <w:pPr>
        <w:rPr>
          <w:sz w:val="30"/>
          <w:szCs w:val="30"/>
        </w:rPr>
      </w:pPr>
    </w:p>
    <w:p>
      <w:pPr>
        <w:rPr>
          <w:sz w:val="30"/>
          <w:szCs w:val="30"/>
        </w:rPr>
      </w:pPr>
    </w:p>
    <w:p>
      <w:pPr>
        <w:spacing w:line="720" w:lineRule="exact"/>
        <w:jc w:val="center"/>
        <w:rPr>
          <w:rFonts w:ascii="小标宋" w:hAnsi="小标宋" w:eastAsia="小标宋" w:cs="小标宋"/>
          <w:color w:val="000000"/>
          <w:sz w:val="48"/>
        </w:rPr>
      </w:pPr>
      <w:r>
        <w:rPr>
          <w:rFonts w:hint="eastAsia" w:ascii="小标宋" w:hAnsi="小标宋" w:eastAsia="小标宋" w:cs="小标宋"/>
          <w:color w:val="000000"/>
          <w:sz w:val="48"/>
        </w:rPr>
        <w:t>中国人民政治协商会议云南省委员会</w:t>
      </w:r>
    </w:p>
    <w:p>
      <w:pPr>
        <w:jc w:val="center"/>
        <w:rPr>
          <w:sz w:val="30"/>
          <w:szCs w:val="30"/>
        </w:rPr>
      </w:pPr>
      <w:r>
        <w:rPr>
          <w:rFonts w:hint="eastAsia"/>
          <w:sz w:val="30"/>
          <w:szCs w:val="30"/>
        </w:rPr>
        <w:t>（</w:t>
      </w:r>
      <w:r>
        <w:rPr>
          <w:rFonts w:ascii="Times New Roman" w:hAnsi="Times New Roman"/>
          <w:sz w:val="30"/>
          <w:szCs w:val="30"/>
        </w:rPr>
        <w:t>第十二届第三次</w:t>
      </w:r>
      <w:r>
        <w:rPr>
          <w:rFonts w:hint="eastAsia"/>
          <w:sz w:val="30"/>
          <w:szCs w:val="30"/>
        </w:rPr>
        <w:t>会议）</w:t>
      </w:r>
    </w:p>
    <w:p>
      <w:pPr>
        <w:jc w:val="center"/>
        <w:rPr>
          <w:b/>
          <w:sz w:val="52"/>
          <w:szCs w:val="52"/>
        </w:rPr>
      </w:pPr>
      <w:r>
        <w:rPr>
          <w:rFonts w:hint="eastAsia" w:eastAsia="方正大标宋简体"/>
          <w:bCs/>
          <w:color w:val="000000"/>
          <w:sz w:val="72"/>
        </w:rPr>
        <w:t>提    案</w:t>
      </w:r>
    </w:p>
    <w:tbl>
      <w:tblPr>
        <w:tblStyle w:val="7"/>
        <w:tblW w:w="9351" w:type="dxa"/>
        <w:jc w:val="center"/>
        <w:tblInd w:w="0" w:type="dxa"/>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Layout w:type="fixed"/>
        <w:tblCellMar>
          <w:top w:w="0" w:type="dxa"/>
          <w:left w:w="108" w:type="dxa"/>
          <w:bottom w:w="0" w:type="dxa"/>
          <w:right w:w="108" w:type="dxa"/>
        </w:tblCellMar>
      </w:tblPr>
      <w:tblGrid>
        <w:gridCol w:w="1985"/>
        <w:gridCol w:w="709"/>
        <w:gridCol w:w="1134"/>
        <w:gridCol w:w="708"/>
        <w:gridCol w:w="4815"/>
      </w:tblGrid>
      <w:tr>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Layout w:type="fixed"/>
          <w:tblCellMar>
            <w:top w:w="0" w:type="dxa"/>
            <w:left w:w="108" w:type="dxa"/>
            <w:bottom w:w="0" w:type="dxa"/>
            <w:right w:w="108" w:type="dxa"/>
          </w:tblCellMar>
        </w:tblPrEx>
        <w:trPr>
          <w:cantSplit/>
          <w:trHeight w:val="420" w:hRule="atLeast"/>
          <w:jc w:val="center"/>
        </w:trPr>
        <w:tc>
          <w:tcPr>
            <w:tcW w:w="9351" w:type="dxa"/>
            <w:gridSpan w:val="5"/>
            <w:tcBorders>
              <w:top w:val="nil"/>
              <w:bottom w:val="single" w:color="auto" w:sz="12" w:space="0"/>
            </w:tcBorders>
          </w:tcPr>
          <w:p>
            <w:pPr>
              <w:jc w:val="center"/>
              <w:rPr>
                <w:rFonts w:ascii="Times New Roman" w:hAnsi="Times New Roman"/>
                <w:szCs w:val="21"/>
              </w:rPr>
            </w:pP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574" w:hRule="atLeast"/>
          <w:jc w:val="center"/>
        </w:trPr>
        <w:tc>
          <w:tcPr>
            <w:tcW w:w="1985" w:type="dxa"/>
            <w:vAlign w:val="center"/>
          </w:tcPr>
          <w:p>
            <w:pPr>
              <w:spacing w:line="0" w:lineRule="atLeast"/>
              <w:jc w:val="center"/>
              <w:rPr>
                <w:rFonts w:ascii="Times New Roman" w:hAnsi="Times New Roman"/>
                <w:b/>
                <w:color w:val="000000"/>
                <w:sz w:val="30"/>
                <w:szCs w:val="30"/>
              </w:rPr>
            </w:pPr>
            <w:r>
              <w:rPr>
                <w:rFonts w:hint="eastAsia" w:ascii="Times New Roman" w:hAnsi="Times New Roman"/>
                <w:b/>
                <w:color w:val="000000"/>
                <w:sz w:val="30"/>
                <w:szCs w:val="30"/>
              </w:rPr>
              <w:t>提案审查</w:t>
            </w:r>
          </w:p>
          <w:p>
            <w:pPr>
              <w:spacing w:line="0" w:lineRule="atLeast"/>
              <w:jc w:val="center"/>
              <w:rPr>
                <w:rFonts w:ascii="Times New Roman" w:hAnsi="Times New Roman"/>
                <w:b/>
                <w:color w:val="000000"/>
                <w:sz w:val="30"/>
                <w:szCs w:val="30"/>
              </w:rPr>
            </w:pPr>
            <w:r>
              <w:rPr>
                <w:rFonts w:hint="eastAsia" w:ascii="Times New Roman" w:hAnsi="Times New Roman"/>
                <w:b/>
                <w:color w:val="000000"/>
                <w:sz w:val="30"/>
                <w:szCs w:val="30"/>
              </w:rPr>
              <w:t>委员会</w:t>
            </w:r>
          </w:p>
          <w:p>
            <w:pPr>
              <w:spacing w:line="0" w:lineRule="atLeast"/>
              <w:jc w:val="center"/>
              <w:rPr>
                <w:rFonts w:ascii="Times New Roman" w:hAnsi="Times New Roman"/>
                <w:b/>
                <w:color w:val="000000"/>
                <w:sz w:val="30"/>
                <w:szCs w:val="30"/>
              </w:rPr>
            </w:pPr>
            <w:r>
              <w:rPr>
                <w:rFonts w:hint="eastAsia" w:ascii="Times New Roman" w:hAnsi="Times New Roman"/>
                <w:b/>
                <w:color w:val="000000"/>
                <w:sz w:val="30"/>
                <w:szCs w:val="30"/>
              </w:rPr>
              <w:t>意见</w:t>
            </w:r>
          </w:p>
        </w:tc>
        <w:tc>
          <w:tcPr>
            <w:tcW w:w="709" w:type="dxa"/>
            <w:textDirection w:val="tbRlV"/>
            <w:vAlign w:val="center"/>
          </w:tcPr>
          <w:p>
            <w:pPr>
              <w:spacing w:line="480" w:lineRule="auto"/>
              <w:ind w:left="113" w:right="113"/>
              <w:jc w:val="center"/>
              <w:rPr>
                <w:rFonts w:ascii="Times New Roman" w:hAnsi="Times New Roman"/>
                <w:sz w:val="24"/>
                <w:szCs w:val="24"/>
              </w:rPr>
            </w:pPr>
            <w:r>
              <w:rPr>
                <w:rFonts w:hint="eastAsia" w:ascii="Times New Roman" w:hAnsi="Times New Roman"/>
                <w:sz w:val="24"/>
                <w:szCs w:val="24"/>
              </w:rPr>
              <w:t>是否立案</w:t>
            </w:r>
          </w:p>
        </w:tc>
        <w:tc>
          <w:tcPr>
            <w:tcW w:w="1134" w:type="dxa"/>
            <w:vAlign w:val="center"/>
          </w:tcPr>
          <w:p>
            <w:pPr>
              <w:spacing w:line="480" w:lineRule="auto"/>
              <w:jc w:val="center"/>
              <w:rPr>
                <w:rFonts w:ascii="Times New Roman" w:hAnsi="Times New Roman"/>
                <w:sz w:val="30"/>
                <w:szCs w:val="30"/>
              </w:rPr>
            </w:pPr>
            <w:r>
              <w:rPr>
                <w:rFonts w:ascii="Times New Roman" w:hAnsi="Times New Roman"/>
                <w:sz w:val="30"/>
                <w:szCs w:val="30"/>
              </w:rPr>
              <w:t>是</w:t>
            </w:r>
          </w:p>
        </w:tc>
        <w:tc>
          <w:tcPr>
            <w:tcW w:w="708" w:type="dxa"/>
            <w:textDirection w:val="tbRlV"/>
            <w:vAlign w:val="center"/>
          </w:tcPr>
          <w:p>
            <w:pPr>
              <w:spacing w:line="480" w:lineRule="auto"/>
              <w:ind w:left="113" w:right="113"/>
              <w:jc w:val="center"/>
              <w:rPr>
                <w:rFonts w:ascii="Times New Roman" w:hAnsi="Times New Roman"/>
                <w:sz w:val="24"/>
                <w:szCs w:val="24"/>
              </w:rPr>
            </w:pPr>
            <w:r>
              <w:rPr>
                <w:rFonts w:hint="eastAsia" w:ascii="Times New Roman" w:hAnsi="Times New Roman"/>
                <w:sz w:val="24"/>
                <w:szCs w:val="24"/>
              </w:rPr>
              <w:t>承办单位</w:t>
            </w:r>
          </w:p>
        </w:tc>
        <w:tc>
          <w:tcPr>
            <w:tcW w:w="4815" w:type="dxa"/>
            <w:vAlign w:val="center"/>
          </w:tcPr>
          <w:p>
            <w:pPr>
              <w:spacing w:line="480" w:lineRule="auto"/>
              <w:rPr>
                <w:rFonts w:ascii="Times New Roman" w:hAnsi="Times New Roman"/>
                <w:sz w:val="30"/>
                <w:szCs w:val="30"/>
              </w:rPr>
            </w:pPr>
            <w:r>
              <w:rPr>
                <w:rFonts w:ascii="Times New Roman" w:hAnsi="Times New Roman"/>
                <w:sz w:val="30"/>
                <w:szCs w:val="30"/>
              </w:rPr>
              <w:t>请省民政厅主办,省市场监督管理局会办</w:t>
            </w:r>
          </w:p>
        </w:tc>
      </w:tr>
    </w:tbl>
    <w:p>
      <w:pPr>
        <w:adjustRightInd w:val="0"/>
        <w:snapToGrid w:val="0"/>
        <w:spacing w:before="156" w:beforeLines="50" w:line="560" w:lineRule="exact"/>
        <w:ind w:left="-420" w:leftChars="-200"/>
        <w:rPr>
          <w:sz w:val="30"/>
          <w:szCs w:val="30"/>
          <w:u w:val="dotted"/>
        </w:rPr>
      </w:pPr>
      <w:r>
        <w:rPr>
          <w:rFonts w:hint="eastAsia"/>
          <w:sz w:val="32"/>
          <w:szCs w:val="32"/>
        </w:rPr>
        <w:t>题目</w:t>
      </w:r>
      <w:r>
        <w:rPr>
          <w:rFonts w:hint="eastAsia"/>
          <w:sz w:val="30"/>
          <w:szCs w:val="30"/>
        </w:rPr>
        <w:t xml:space="preserve">: </w:t>
      </w:r>
      <w:r>
        <w:rPr>
          <w:sz w:val="30"/>
          <w:szCs w:val="30"/>
          <w:u w:val="dotted"/>
        </w:rPr>
        <w:t xml:space="preserve">关于建立社会组织参与市场监管制度的建议  </w:t>
      </w:r>
    </w:p>
    <w:p>
      <w:pPr>
        <w:adjustRightInd w:val="0"/>
        <w:snapToGrid w:val="0"/>
        <w:spacing w:before="156" w:beforeLines="50" w:line="560" w:lineRule="exact"/>
        <w:ind w:left="-420" w:leftChars="-200"/>
        <w:rPr>
          <w:sz w:val="30"/>
          <w:szCs w:val="30"/>
          <w:u w:val="dotted"/>
        </w:rPr>
      </w:pPr>
      <w:r>
        <w:rPr>
          <w:rFonts w:hint="eastAsia"/>
          <w:sz w:val="32"/>
          <w:szCs w:val="32"/>
        </w:rPr>
        <w:t>提案者</w:t>
      </w:r>
      <w:r>
        <w:rPr>
          <w:rFonts w:hint="eastAsia"/>
          <w:sz w:val="30"/>
          <w:szCs w:val="30"/>
        </w:rPr>
        <w:t xml:space="preserve">: </w:t>
      </w:r>
      <w:r>
        <w:rPr>
          <w:sz w:val="30"/>
          <w:szCs w:val="30"/>
          <w:u w:val="dotted"/>
        </w:rPr>
        <w:t>朱燕</w:t>
      </w:r>
    </w:p>
    <w:p>
      <w:pPr>
        <w:adjustRightInd w:val="0"/>
        <w:snapToGrid w:val="0"/>
        <w:spacing w:before="156" w:beforeLines="50" w:line="560" w:lineRule="exact"/>
        <w:ind w:left="-420" w:leftChars="-200"/>
        <w:rPr>
          <w:sz w:val="30"/>
          <w:szCs w:val="30"/>
          <w:u w:val="dotted"/>
        </w:rPr>
      </w:pPr>
      <w:r>
        <w:rPr>
          <w:rFonts w:hint="eastAsia"/>
          <w:sz w:val="32"/>
          <w:szCs w:val="32"/>
        </w:rPr>
        <w:t>界别</w:t>
      </w:r>
      <w:r>
        <w:rPr>
          <w:rFonts w:hint="eastAsia"/>
          <w:sz w:val="30"/>
          <w:szCs w:val="30"/>
        </w:rPr>
        <w:t xml:space="preserve">: </w:t>
      </w:r>
      <w:r>
        <w:rPr>
          <w:sz w:val="30"/>
          <w:szCs w:val="30"/>
          <w:u w:val="dotted"/>
        </w:rPr>
        <w:t>中国国民党革命委员会</w:t>
      </w:r>
    </w:p>
    <w:p>
      <w:pPr>
        <w:adjustRightInd w:val="0"/>
        <w:snapToGrid w:val="0"/>
        <w:spacing w:before="156" w:beforeLines="50" w:line="560" w:lineRule="exact"/>
        <w:ind w:left="-420" w:leftChars="-200"/>
        <w:rPr>
          <w:sz w:val="30"/>
          <w:szCs w:val="30"/>
          <w:u w:val="dotted"/>
        </w:rPr>
      </w:pPr>
      <w:r>
        <w:rPr>
          <w:rFonts w:hint="eastAsia"/>
          <w:sz w:val="32"/>
          <w:szCs w:val="32"/>
        </w:rPr>
        <w:t>通讯地址</w:t>
      </w:r>
      <w:r>
        <w:rPr>
          <w:rFonts w:hint="eastAsia"/>
          <w:sz w:val="30"/>
          <w:szCs w:val="30"/>
        </w:rPr>
        <w:t xml:space="preserve">: </w:t>
      </w:r>
      <w:r>
        <w:rPr>
          <w:sz w:val="30"/>
          <w:szCs w:val="30"/>
          <w:u w:val="dotted"/>
        </w:rPr>
        <w:t xml:space="preserve">昆明市呈贡区市级行政中心10号楼 </w:t>
      </w:r>
    </w:p>
    <w:p>
      <w:pPr>
        <w:adjustRightInd w:val="0"/>
        <w:snapToGrid w:val="0"/>
        <w:spacing w:before="156" w:beforeLines="50" w:line="560" w:lineRule="exact"/>
        <w:ind w:left="-420" w:leftChars="-200"/>
        <w:rPr>
          <w:sz w:val="30"/>
          <w:szCs w:val="30"/>
          <w:u w:val="dotted"/>
        </w:rPr>
      </w:pPr>
      <w:r>
        <w:rPr>
          <w:rFonts w:hint="eastAsia"/>
          <w:sz w:val="32"/>
          <w:szCs w:val="32"/>
        </w:rPr>
        <w:t>邮编</w:t>
      </w:r>
      <w:r>
        <w:rPr>
          <w:rFonts w:hint="eastAsia"/>
          <w:sz w:val="30"/>
          <w:szCs w:val="30"/>
        </w:rPr>
        <w:t xml:space="preserve">: </w:t>
      </w:r>
      <w:r>
        <w:rPr>
          <w:sz w:val="30"/>
          <w:szCs w:val="30"/>
          <w:u w:val="dotted"/>
        </w:rPr>
        <w:t>650221</w:t>
      </w:r>
      <w:r>
        <w:rPr>
          <w:rFonts w:hint="eastAsia"/>
          <w:sz w:val="32"/>
          <w:szCs w:val="32"/>
        </w:rPr>
        <w:t xml:space="preserve"> 联系电话</w:t>
      </w:r>
      <w:r>
        <w:rPr>
          <w:rFonts w:hint="eastAsia"/>
          <w:sz w:val="30"/>
          <w:szCs w:val="30"/>
        </w:rPr>
        <w:t xml:space="preserve">: </w:t>
      </w:r>
      <w:r>
        <w:rPr>
          <w:sz w:val="30"/>
          <w:szCs w:val="30"/>
          <w:u w:val="dotted"/>
        </w:rPr>
        <w:t xml:space="preserve">13669791749  </w:t>
      </w:r>
    </w:p>
    <w:p>
      <w:pPr>
        <w:adjustRightInd w:val="0"/>
        <w:snapToGrid w:val="0"/>
        <w:spacing w:before="156" w:beforeLines="50" w:line="560" w:lineRule="exact"/>
        <w:ind w:left="-420" w:leftChars="-200"/>
        <w:rPr>
          <w:sz w:val="30"/>
          <w:szCs w:val="30"/>
          <w:u w:val="dotted"/>
        </w:rPr>
      </w:pPr>
      <w:r>
        <w:rPr>
          <w:rFonts w:hint="eastAsia"/>
          <w:sz w:val="28"/>
          <w:szCs w:val="28"/>
        </w:rPr>
        <w:t>是否涉密</w:t>
      </w:r>
      <w:r>
        <w:rPr>
          <w:rFonts w:hint="eastAsia"/>
          <w:sz w:val="30"/>
          <w:szCs w:val="30"/>
        </w:rPr>
        <w:t xml:space="preserve">: </w:t>
      </w:r>
      <w:r>
        <w:rPr>
          <w:rFonts w:hint="eastAsia"/>
          <w:sz w:val="28"/>
          <w:szCs w:val="28"/>
        </w:rPr>
        <w:t xml:space="preserve">涉密 </w:t>
      </w:r>
      <w:r>
        <w:rPr>
          <w:rFonts w:ascii="Times New Roman" w:hAnsi="Times New Roman"/>
          <w:sz w:val="46"/>
          <w:szCs w:val="30"/>
        </w:rPr>
        <w:t>□</w:t>
      </w:r>
      <w:r>
        <w:rPr>
          <w:rFonts w:hint="eastAsia" w:ascii="Times New Roman" w:hAnsi="Times New Roman"/>
          <w:sz w:val="30"/>
          <w:szCs w:val="30"/>
        </w:rPr>
        <w:t xml:space="preserve"> </w:t>
      </w:r>
      <w:r>
        <w:rPr>
          <w:rFonts w:hint="eastAsia" w:ascii="Times New Roman" w:hAnsi="Times New Roman"/>
          <w:sz w:val="28"/>
          <w:szCs w:val="28"/>
        </w:rPr>
        <w:t xml:space="preserve">不涉密 </w:t>
      </w:r>
      <w:r>
        <w:rPr>
          <w:rFonts w:ascii="Times New Roman" w:hAnsi="Times New Roman"/>
          <w:sz w:val="20"/>
          <w:szCs w:val="30"/>
        </w:rPr>
        <w:t>☑</w:t>
      </w:r>
    </w:p>
    <w:p>
      <w:pPr>
        <w:widowControl/>
        <w:adjustRightInd w:val="0"/>
        <w:snapToGrid w:val="0"/>
        <w:spacing w:line="560" w:lineRule="exact"/>
        <w:ind w:left="-420" w:leftChars="-200"/>
        <w:jc w:val="left"/>
        <w:rPr>
          <w:rFonts w:ascii="宋体" w:hAnsi="宋体"/>
          <w:sz w:val="30"/>
          <w:szCs w:val="30"/>
        </w:rPr>
      </w:pPr>
      <w:r>
        <w:rPr>
          <w:rFonts w:hint="eastAsia"/>
          <w:sz w:val="28"/>
          <w:szCs w:val="28"/>
        </w:rPr>
        <w:t>是否同意公开</w:t>
      </w:r>
      <w:r>
        <w:rPr>
          <w:rFonts w:hint="eastAsia"/>
          <w:sz w:val="30"/>
          <w:szCs w:val="30"/>
        </w:rPr>
        <w:t>:</w:t>
      </w:r>
      <w:bookmarkStart w:id="0" w:name="OLE_LINK15"/>
      <w:bookmarkEnd w:id="0"/>
      <w:r>
        <w:rPr>
          <w:rFonts w:hint="eastAsia"/>
          <w:sz w:val="30"/>
          <w:szCs w:val="30"/>
        </w:rPr>
        <w:t xml:space="preserve"> </w:t>
      </w:r>
      <w:r>
        <w:rPr>
          <w:rFonts w:hint="eastAsia"/>
          <w:sz w:val="28"/>
          <w:szCs w:val="28"/>
        </w:rPr>
        <w:t xml:space="preserve">公开 </w:t>
      </w:r>
      <w:r>
        <w:rPr>
          <w:rFonts w:ascii="Times New Roman" w:hAnsi="Times New Roman"/>
          <w:sz w:val="20"/>
          <w:szCs w:val="30"/>
        </w:rPr>
        <w:t>☑</w:t>
      </w:r>
      <w:r>
        <w:rPr>
          <w:rFonts w:hint="eastAsia" w:ascii="Times New Roman" w:hAnsi="Times New Roman"/>
          <w:sz w:val="30"/>
          <w:szCs w:val="30"/>
        </w:rPr>
        <w:t xml:space="preserve"> </w:t>
      </w:r>
      <w:r>
        <w:rPr>
          <w:rFonts w:hint="eastAsia" w:ascii="Times New Roman" w:hAnsi="Times New Roman"/>
          <w:sz w:val="28"/>
          <w:szCs w:val="28"/>
        </w:rPr>
        <w:t xml:space="preserve">不公开 </w:t>
      </w:r>
      <w:r>
        <w:rPr>
          <w:rFonts w:ascii="Times New Roman" w:hAnsi="Times New Roman"/>
          <w:sz w:val="46"/>
          <w:szCs w:val="30"/>
        </w:rPr>
        <w:t>□</w:t>
      </w:r>
    </w:p>
    <w:p>
      <w:pPr>
        <w:widowControl/>
        <w:adjustRightInd w:val="0"/>
        <w:snapToGrid w:val="0"/>
        <w:spacing w:line="560" w:lineRule="exact"/>
        <w:ind w:left="-426" w:leftChars="-204" w:right="-624" w:rightChars="-297" w:hanging="2"/>
        <w:jc w:val="left"/>
        <w:rPr>
          <w:sz w:val="30"/>
          <w:szCs w:val="30"/>
          <w:u w:val="dotted"/>
        </w:rPr>
      </w:pPr>
      <w:r>
        <w:rPr>
          <w:rFonts w:hint="eastAsia"/>
          <w:sz w:val="28"/>
          <w:szCs w:val="28"/>
        </w:rPr>
        <w:t>建议办理单位（供参考）</w:t>
      </w:r>
      <w:r>
        <w:rPr>
          <w:sz w:val="30"/>
          <w:szCs w:val="30"/>
        </w:rPr>
        <w:t xml:space="preserve">:  </w:t>
      </w:r>
    </w:p>
    <w:p>
      <w:pPr>
        <w:widowControl/>
        <w:jc w:val="left"/>
        <w:rPr>
          <w:sz w:val="24"/>
          <w:szCs w:val="24"/>
        </w:rPr>
      </w:pPr>
      <w:r>
        <w:rPr>
          <w:sz w:val="24"/>
          <w:szCs w:val="24"/>
        </w:rPr>
        <w:br w:type="page"/>
      </w:r>
    </w:p>
    <w:p>
      <w:pPr>
        <w:widowControl/>
        <w:jc w:val="left"/>
        <w:rPr>
          <w:sz w:val="24"/>
          <w:szCs w:val="24"/>
        </w:rPr>
      </w:pPr>
    </w:p>
    <w:p>
      <w:pPr>
        <w:widowControl/>
        <w:ind w:left="-426" w:leftChars="-204" w:right="-624" w:rightChars="-297" w:hanging="2"/>
        <w:jc w:val="left"/>
        <w:rPr>
          <w:sz w:val="24"/>
          <w:szCs w:val="24"/>
        </w:rPr>
      </w:pPr>
    </w:p>
    <w:p>
      <w:pPr>
        <w:spacing w:line="560" w:lineRule="exact"/>
        <w:ind w:firstLine="560" w:firstLineChars="200"/>
        <w:rPr>
          <w:rFonts w:ascii="宋体"/>
          <w:sz w:val="28"/>
        </w:rPr>
      </w:pPr>
      <w:bookmarkStart w:id="1" w:name="OLE_LINK19"/>
      <w:bookmarkStart w:id="2" w:name="OLE_LINK18"/>
      <w:r>
        <w:rPr>
          <w:rFonts w:ascii="宋体"/>
          <w:sz w:val="28"/>
        </w:rPr>
        <w:t>案由：</w:t>
      </w:r>
      <w:r>
        <w:rPr>
          <w:rFonts w:ascii="宋体"/>
          <w:sz w:val="28"/>
        </w:rPr>
        <w:cr/>
      </w:r>
      <w:r>
        <w:rPr>
          <w:rFonts w:ascii="宋体"/>
          <w:sz w:val="28"/>
        </w:rPr>
        <w:t xml:space="preserve">          当前，在“放管服”改革的促动下，我国市场主体数量迅猛增长，伴随着互联网技术应用的普及，新经济、新业态、新模式也层出不穷，政府监管和市场调节面临巨大挑战。随着“放管服”改革的不断深入，压缩政府机构与加强市场监管矛盾日益突出。建立并发挥社会组织对市场的监管作用，已经成为一条有效且必须的制度安排。</w:t>
      </w:r>
      <w:r>
        <w:rPr>
          <w:rFonts w:ascii="宋体"/>
          <w:sz w:val="28"/>
        </w:rPr>
        <w:cr/>
      </w:r>
      <w:r>
        <w:rPr>
          <w:rFonts w:ascii="宋体"/>
          <w:sz w:val="28"/>
        </w:rPr>
        <w:t xml:space="preserve">    一、政府是“市场守夜人”，逐步实现社会自治是市场经济的必然要求</w:t>
      </w:r>
      <w:r>
        <w:rPr>
          <w:rFonts w:ascii="宋体"/>
          <w:sz w:val="28"/>
        </w:rPr>
        <w:cr/>
      </w:r>
      <w:r>
        <w:rPr>
          <w:rFonts w:ascii="宋体"/>
          <w:sz w:val="28"/>
        </w:rPr>
        <w:t xml:space="preserve">    近几年，随着简政放权和市场经济体制的改革，社会组织不断发展壮大。各个商会组织普遍建立起来，各种行业协会也如同雨后春笋，发展迅猛，这是件好事，是回归市场经济的先决条件。但是，这些民间组织还处在有组织，少实际；有其名，少活力；有机构，少作用的初创探索阶段。有些社会组织还处在探索自我管理阶段，远远没有发挥出社会管理重要职能的作用。这有两反面原因，第一个方面是受传统文化的影响，自身还没有成熟。首先是思想上没有成熟，还依赖于政府。我国传统观念认为管理天生就是政府的事情，缺乏现代社会和市场经济意识。其次，组织上还不成熟、不健全，缺少社会管理、社会担当的基因。再次，缺少发挥社会管理职能的机制和能力。第二个方面是政府的“放管服”还不到位。政府没有拿出“壮士断腕”的勇气，下放权力，没有完全把应该属于市场的权力放下去，还权于民。一个事情的两个方面，导致社会组织如同一个长不大的“巨婴”，政府既不甘心，也不放心放权。社会组织也无心、无力承接社会管理、社会治理的权力。直接后果就是，政府组织疲于奔命，力所不及，监管缺位。市场混乱，食品药品安全、日用商品质量与百姓对美好生活的要求相差甚远。而社会组织还游离于社会管理之外，没有尽到应尽的责任。</w:t>
      </w:r>
      <w:r>
        <w:rPr>
          <w:rFonts w:ascii="宋体"/>
          <w:sz w:val="28"/>
        </w:rPr>
        <w:cr/>
      </w:r>
      <w:r>
        <w:rPr>
          <w:rFonts w:ascii="宋体"/>
          <w:sz w:val="28"/>
        </w:rPr>
        <w:t xml:space="preserve">    二、加快“放管服”改革，建立社会组织参与社会治理制度，是净化市场环境、提升人民满意度的必由之路
　　　　</w:t>
      </w:r>
    </w:p>
    <w:p>
      <w:pPr>
        <w:spacing w:line="560" w:lineRule="exact"/>
        <w:ind w:firstLine="560" w:firstLineChars="200"/>
        <w:rPr>
          <w:rFonts w:ascii="宋体"/>
          <w:sz w:val="28"/>
        </w:rPr>
      </w:pPr>
      <w:r>
        <w:rPr>
          <w:rFonts w:ascii="宋体"/>
          <w:sz w:val="28"/>
        </w:rPr>
        <w:t>20世纪70年代以来，为解决政府部门膨胀、行政效率低下、财政紧张等问题，全球范围内掀起了公共行政改革浪潮。其中，法国著名哲学家米歇尔·福柯提出治理术理论，其核心是“将权力视野从国家领域转向社会领域，从宏观权力转向微观权力”。主要观点如下：权力具有微观性，以不同手段形式存在于各种社会形态中；权力不具有固定的中心和归属，随着社会关系力量对比而不断变化；权力和知识具有很强共生性，通过各种约束机制内化于心，产生互动作用。随着“规则—惩罚”的传统管制逻辑悄然发生变化，政府亦不再是唯一的社会公共服务提供者、社会公共秩序维持者，越来越多的私人机构和社会组织参与其中，形成公私协作治理格局。
   从改革开放以来的社会管理实践角度看，政府监管面临的矛盾主要体现在两个方面：一是监管方与监管对象之间存在信息不对称问题，政府一般性检测难以发现专业违法行为，政府监管部门对行业内已经普遍存在的“潜规则”缺乏了解；二是行政资源不足，容易产生对“高频运动式执法”的路径依赖。从治理逻辑看，社会组织及其公民广泛参与，尤其通过直接发动业内人士，有效解决了信息不对称问题，激励更多监督者解决监管力量不足问题，其遵循的是政府监管不足—激励社会监督—获取有效信息—达到监管效果的治理逻辑。
　　</w:t>
      </w:r>
    </w:p>
    <w:p>
      <w:pPr>
        <w:spacing w:line="560" w:lineRule="exact"/>
        <w:ind w:firstLine="560" w:firstLineChars="200"/>
        <w:rPr>
          <w:rFonts w:ascii="宋体"/>
          <w:sz w:val="28"/>
        </w:rPr>
      </w:pPr>
      <w:r>
        <w:rPr>
          <w:rFonts w:ascii="宋体"/>
          <w:sz w:val="28"/>
        </w:rPr>
        <w:t>近年来，超过30个省区市出台地方性文件，建立食品安全领域有奖举报制度。其中上海、深圳、吉林、大连等地还把内部举报人作为特殊情形予以特别规定。然而现实中，有奖举报对食品药品安全、商品质量问题的查处虽然取得了一定的成效，但是仍然存在信息不对称问题。对于违法生产及其经销企业的追求暴利、违法违纪、参杂使假、坑蒙拐骗等案件，对于花样翻新、神出鬼没、游击作案的情况，仍然是作用有限，有些案件无法获取线索更无从查处。但是有些案件，尤其有的大案要案的查处，是由行业协会及其内部举报人的举报才获得线索，得到查处。</w:t>
      </w:r>
      <w:r>
        <w:rPr>
          <w:rFonts w:ascii="宋体"/>
          <w:sz w:val="28"/>
        </w:rPr>
        <w:cr/>
      </w:r>
      <w:r>
        <w:rPr>
          <w:rFonts w:ascii="宋体"/>
          <w:sz w:val="28"/>
        </w:rPr>
        <w:t xml:space="preserve">    2019年9月12日，《国务院关于加强和规范事中事后监管的指导意见》对外发布。文件提出：建立“吹哨人”、内部举报人等制度，对举报严重违法违规行为和重大风险隐患的有功人员予以重奖和严格保护。目前不少职能部门和地方对在食品、医药、金融等领域引入“吹哨人”制度，作出了明确规划。</w:t>
      </w:r>
      <w:r>
        <w:rPr>
          <w:rFonts w:ascii="宋体"/>
          <w:sz w:val="28"/>
        </w:rPr>
        <w:cr/>
      </w:r>
      <w:r>
        <w:rPr>
          <w:rFonts w:ascii="宋体"/>
          <w:sz w:val="28"/>
        </w:rPr>
        <w:t xml:space="preserve">    三、制定社会组织及其企业内部“吹哨人”参与社会治理制度具有重要意义
   </w:t>
      </w:r>
    </w:p>
    <w:p>
      <w:pPr>
        <w:spacing w:line="560" w:lineRule="exact"/>
        <w:ind w:firstLine="560" w:firstLineChars="200"/>
        <w:rPr>
          <w:rFonts w:ascii="宋体"/>
          <w:sz w:val="28"/>
        </w:rPr>
      </w:pPr>
      <w:r>
        <w:rPr>
          <w:rFonts w:ascii="宋体"/>
          <w:sz w:val="28"/>
        </w:rPr>
        <w:t>“吹哨人”制度又被称为内部举报人制度。从狭义上理解，即引导企业内部知情人士揭发违法线索，从企业内部打击违法行为的重要监管制度；广义上的“吹哨人”，就是商会、行业协会。社会组织对于行业内部企业经营状况掌握信息。由于是业内人士，具有行业专业知识，掌握本行业、本组织内部企业信息。建立“吹哨人”制度，不仅能够提升政府监管效能，更是监管流程的再造和监管体系的重塑。在市场监管领域建立“吹哨人”制度，需要转变监管理念，明确制度功能和目的，厘清内在逻辑，科学借鉴国内外成熟经验，结合长春市社会实践细化制度安排。在建立社会组织参与社会治理制度上，需要厘清这样几个问题：</w:t>
      </w:r>
      <w:r>
        <w:rPr>
          <w:rFonts w:ascii="宋体"/>
          <w:sz w:val="28"/>
        </w:rPr>
        <w:cr/>
      </w:r>
      <w:r>
        <w:rPr>
          <w:rFonts w:ascii="宋体"/>
          <w:sz w:val="28"/>
        </w:rPr>
        <w:t xml:space="preserve">    首先，建立社会组织参与社会治理制度就是开展公私协作治理的积极尝试。尤其是面对发现困难、影响巨大的市场风险，“吹哨人”不单单是提高政府监管效率的外挂工具，而是对监管流程融合再造的重要环节。政府与社会组织举报者之间建立的不是垂直关系，而是基于共同利益诉求的平等伙伴关系。行业或者企业内部知情人士的举报动机应当被更宽容看待，举报行为应当得到更充分的保护，举报结果应当得到更有力的激励。这种“共生”结构使内部知情人士成为了不可替代的、有力的监管组成部分，也是建立健全“吹哨人”制度的重要前提。
   其次，社会组织本身就具有行业自律的职能，建立制度，无非就是使之制度化、法制化、规范化。把社会组织的职能焕发出来，调动出来，发挥起来，提升一步。政府有责任和义务帮助社会组织发展壮大，具有履行责任的意识和能力。由于社会组织不具备执法权力，但是有知情优势，信息优势，专业优势，可以作为政府依法社会治理的必要的补充和组成部分。
   </w:t>
      </w:r>
    </w:p>
    <w:p>
      <w:pPr>
        <w:spacing w:line="560" w:lineRule="exact"/>
        <w:ind w:firstLine="560" w:firstLineChars="200"/>
        <w:rPr>
          <w:rFonts w:ascii="宋体"/>
          <w:sz w:val="28"/>
        </w:rPr>
      </w:pPr>
      <w:r>
        <w:rPr>
          <w:rFonts w:ascii="宋体"/>
          <w:sz w:val="28"/>
        </w:rPr>
        <w:t>再次，要把社会组织参与社会治理与已经实行的公众监督有奖举报相结合。相对于传统公众监督有奖举报制度，社会组织及其企业内部“吹哨人”制度建立了新型、对等的协作机制，制度设计更为复杂，作用发挥更为聚焦。从治理逻辑上看，目前我们已经实行了的群众有奖监督举报遵循的是“政府监管不足—激励社会监督—获取有效信息—达到监管效果”的流程，发挥了较为单一的工具性作用；社会组织“吹哨人”制度有助于构建“政府监管不足—激发自查自纠意识—开展举报协助—形成公私协作格局—增强各方规范能力”的监管链条，激发行业、企业内部知情人士的自查自纠意识，目标是实现高效监管，让行业企业内部举报人成为治理体系的参与者，开展行之有效的公私协作治理，并借此带动行业标准完善、企业内部合规建设等。
　　</w:t>
      </w:r>
    </w:p>
    <w:p>
      <w:pPr>
        <w:spacing w:line="560" w:lineRule="exact"/>
        <w:ind w:firstLine="560" w:firstLineChars="200"/>
        <w:rPr>
          <w:rFonts w:ascii="仿宋" w:hAnsi="仿宋" w:eastAsia="仿宋" w:cs="仿宋"/>
          <w:kern w:val="0"/>
          <w:sz w:val="28"/>
          <w:szCs w:val="28"/>
        </w:rPr>
      </w:pPr>
      <w:bookmarkStart w:id="3" w:name="_GoBack"/>
      <w:bookmarkEnd w:id="3"/>
      <w:r>
        <w:rPr>
          <w:rFonts w:ascii="宋体"/>
          <w:sz w:val="28"/>
        </w:rPr>
        <w:t>四、几点建议</w:t>
      </w:r>
      <w:r>
        <w:rPr>
          <w:rFonts w:ascii="宋体"/>
          <w:sz w:val="28"/>
        </w:rPr>
        <w:cr/>
      </w:r>
      <w:r>
        <w:rPr>
          <w:rFonts w:ascii="宋体"/>
          <w:sz w:val="28"/>
        </w:rPr>
        <w:t xml:space="preserve">    1.进一步深化“放管服”改革，为社会组织打造成长发展空间。进一步清理审批、管理事项，审批权限能放的一律下放，把一部分权利让渡给社会组织。让社会组织有发挥作用的空间和条件。比如，行业信誉标准、产品质量标准、企业评级、商品价格标准、企业授信融资及其补贴等。</w:t>
      </w:r>
      <w:r>
        <w:rPr>
          <w:rFonts w:ascii="宋体"/>
          <w:sz w:val="28"/>
        </w:rPr>
        <w:cr/>
      </w:r>
      <w:r>
        <w:rPr>
          <w:rFonts w:ascii="宋体"/>
          <w:sz w:val="28"/>
        </w:rPr>
        <w:t xml:space="preserve">    2.用立法赋予社会组织参与社会监督管理的权力。用立法或者政府规章，把有些政府检查、督查职能还权于社会组织。让各级商会、行业协会有权不定期开展对市场和企业进行检查、督查。赋予这种权力，才能够起到发现问题、提出问题、反映问题的“吹哨人”作用。政府做为社会组织“吹哨人”的坚实后盾和平等、可靠的伙伴，对于社会组织经检查督查反应的问题，严肃依法处理。</w:t>
      </w:r>
      <w:r>
        <w:rPr>
          <w:rFonts w:ascii="宋体"/>
          <w:sz w:val="28"/>
        </w:rPr>
        <w:cr/>
      </w:r>
      <w:r>
        <w:rPr>
          <w:rFonts w:ascii="宋体"/>
          <w:sz w:val="28"/>
        </w:rPr>
        <w:t xml:space="preserve">    3.把对于社会组织“吹哨人”的奖惩和保护纳入制度设计。作为制度设计，不能拘泥于“去行政化”而无所作为。对于社会组织“吹哨人”职能作用，应具有“绩效考核”的可量化和操作性系统。对于真正发挥了市场监督管理作用，起到了“吹哨人”作用的，给予奖励（不同于有奖举报奖励）；对于举报行业违法违规大案要案的，制定严格的保密制度，尤其是对于企业内部员工举报违法违纪案件的“吹哨人”，予以奖励，并严格保护举报人的隐私；对于不能起到职能作用的社会组织，进行通报批评；对于行业、企业内部员工举报人明知虚假信息、故意诱导违法行为、直接参与违法以及蓄意诬告等行为，应毫不留情地给予严厉惩罚，情节严重的追究刑事责任。</w:t>
      </w:r>
      <w:r>
        <w:rPr>
          <w:rFonts w:ascii="宋体"/>
          <w:sz w:val="28"/>
        </w:rPr>
        <w:cr/>
      </w:r>
      <w:r>
        <w:rPr>
          <w:rFonts w:ascii="宋体"/>
          <w:sz w:val="28"/>
        </w:rPr>
        <w:t xml:space="preserve">    4.培养社会管理监督的文化。培育社会组织参与社会监督治理文化，要借鉴我国传统商会、行业协会自律、自治传统，也借鉴美国、日本、瑞士等国家先进的社会治理经验，参考借鉴党的十八大以来铁腕反腐、发动群众提供线索参与反腐，打一场全民反腐的人民战争并取得了“老虎苍蝇一起打”的有效做法。但囿于传统文化的影响，目前还习惯于社会组织职能仅仅是维护行业企业利益，帮助行业企业排忧解难的组织；员工对企业要求绝对忠诚，以及公众普遍认同的不齿检举、告密的价值取向。社会上普遍缺乏社会组织应该参与社会监督治理的现代思维和意识。必须加大社会组织“吹哨人”制度宣传力度，引导形成正确的舆论导向，树立社会组织及其员工“举报是挺身而出对抗危害社会公共利益恶行”的勇敢正面形象，强化巨额奖励是对维护社会公共利益的有力表彰的社会文化。</w:t>
      </w:r>
    </w:p>
    <w:bookmarkEnd w:id="1"/>
    <w:bookmarkEnd w:id="2"/>
    <w:p>
      <w:pPr>
        <w:spacing w:line="560" w:lineRule="exact"/>
        <w:rPr>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panose1 w:val="03000509000000000000"/>
    <w:charset w:val="86"/>
    <w:family w:val="auto"/>
    <w:pitch w:val="default"/>
    <w:sig w:usb0="00000001" w:usb1="080E0000" w:usb2="00000000" w:usb3="00000000" w:csb0="00040000" w:csb1="00000000"/>
  </w:font>
  <w:font w:name="方正大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E6DEC"/>
    <w:rsid w:val="0000705E"/>
    <w:rsid w:val="00011467"/>
    <w:rsid w:val="00013EBE"/>
    <w:rsid w:val="00015C5D"/>
    <w:rsid w:val="00021BE6"/>
    <w:rsid w:val="00024E20"/>
    <w:rsid w:val="000602EA"/>
    <w:rsid w:val="00062600"/>
    <w:rsid w:val="00072A0E"/>
    <w:rsid w:val="0008039D"/>
    <w:rsid w:val="000848D5"/>
    <w:rsid w:val="000A6B17"/>
    <w:rsid w:val="000B6730"/>
    <w:rsid w:val="000C277C"/>
    <w:rsid w:val="000D2EC9"/>
    <w:rsid w:val="000E4914"/>
    <w:rsid w:val="000E6DEC"/>
    <w:rsid w:val="000F01DF"/>
    <w:rsid w:val="00103CF9"/>
    <w:rsid w:val="00105788"/>
    <w:rsid w:val="00110E4B"/>
    <w:rsid w:val="00111B65"/>
    <w:rsid w:val="00115488"/>
    <w:rsid w:val="00150C5F"/>
    <w:rsid w:val="001517A8"/>
    <w:rsid w:val="001611C3"/>
    <w:rsid w:val="00162BE4"/>
    <w:rsid w:val="001769D8"/>
    <w:rsid w:val="00187E58"/>
    <w:rsid w:val="00195352"/>
    <w:rsid w:val="001A263C"/>
    <w:rsid w:val="001B238F"/>
    <w:rsid w:val="001E155B"/>
    <w:rsid w:val="001F1B45"/>
    <w:rsid w:val="001F6418"/>
    <w:rsid w:val="00214A0E"/>
    <w:rsid w:val="00217D64"/>
    <w:rsid w:val="00224E8C"/>
    <w:rsid w:val="00242355"/>
    <w:rsid w:val="00244409"/>
    <w:rsid w:val="002459A2"/>
    <w:rsid w:val="002510B2"/>
    <w:rsid w:val="00253DA3"/>
    <w:rsid w:val="00264915"/>
    <w:rsid w:val="00271CFA"/>
    <w:rsid w:val="00271E48"/>
    <w:rsid w:val="00277466"/>
    <w:rsid w:val="00284D18"/>
    <w:rsid w:val="0029020E"/>
    <w:rsid w:val="00295322"/>
    <w:rsid w:val="002979A5"/>
    <w:rsid w:val="002B6757"/>
    <w:rsid w:val="002D46A9"/>
    <w:rsid w:val="002E06A5"/>
    <w:rsid w:val="002E5756"/>
    <w:rsid w:val="002F5CC9"/>
    <w:rsid w:val="0030082B"/>
    <w:rsid w:val="00316755"/>
    <w:rsid w:val="003235E1"/>
    <w:rsid w:val="00375D57"/>
    <w:rsid w:val="0038488C"/>
    <w:rsid w:val="003A7D5E"/>
    <w:rsid w:val="003B470D"/>
    <w:rsid w:val="003B5522"/>
    <w:rsid w:val="003C004D"/>
    <w:rsid w:val="003C0A7A"/>
    <w:rsid w:val="003D71A4"/>
    <w:rsid w:val="003E54AC"/>
    <w:rsid w:val="003F39A0"/>
    <w:rsid w:val="003F5BFB"/>
    <w:rsid w:val="00400385"/>
    <w:rsid w:val="00401A9E"/>
    <w:rsid w:val="004256DA"/>
    <w:rsid w:val="004574A3"/>
    <w:rsid w:val="00467404"/>
    <w:rsid w:val="004678D7"/>
    <w:rsid w:val="0047527B"/>
    <w:rsid w:val="0048471F"/>
    <w:rsid w:val="0048502D"/>
    <w:rsid w:val="00492BC1"/>
    <w:rsid w:val="00497D8C"/>
    <w:rsid w:val="004E55D0"/>
    <w:rsid w:val="00501BC6"/>
    <w:rsid w:val="00510FCF"/>
    <w:rsid w:val="0053455F"/>
    <w:rsid w:val="00540732"/>
    <w:rsid w:val="00557B9C"/>
    <w:rsid w:val="0057531A"/>
    <w:rsid w:val="00586869"/>
    <w:rsid w:val="00594B52"/>
    <w:rsid w:val="005A5404"/>
    <w:rsid w:val="005C753E"/>
    <w:rsid w:val="005D1AB0"/>
    <w:rsid w:val="005D1C81"/>
    <w:rsid w:val="005D2E69"/>
    <w:rsid w:val="006021C0"/>
    <w:rsid w:val="006037AC"/>
    <w:rsid w:val="00623189"/>
    <w:rsid w:val="00640F78"/>
    <w:rsid w:val="00650D09"/>
    <w:rsid w:val="0065421B"/>
    <w:rsid w:val="006653CC"/>
    <w:rsid w:val="00673B3C"/>
    <w:rsid w:val="006752C7"/>
    <w:rsid w:val="00683F1E"/>
    <w:rsid w:val="00686AE8"/>
    <w:rsid w:val="006A4FAE"/>
    <w:rsid w:val="006B6182"/>
    <w:rsid w:val="006C6F8C"/>
    <w:rsid w:val="006D4BBD"/>
    <w:rsid w:val="006D7FF2"/>
    <w:rsid w:val="006E4F1A"/>
    <w:rsid w:val="006F74FC"/>
    <w:rsid w:val="007232E3"/>
    <w:rsid w:val="00730367"/>
    <w:rsid w:val="00730755"/>
    <w:rsid w:val="0073273B"/>
    <w:rsid w:val="0075153A"/>
    <w:rsid w:val="00753209"/>
    <w:rsid w:val="007577AB"/>
    <w:rsid w:val="0076518B"/>
    <w:rsid w:val="007762C5"/>
    <w:rsid w:val="00792BF6"/>
    <w:rsid w:val="00797D02"/>
    <w:rsid w:val="007C757A"/>
    <w:rsid w:val="007D2A2D"/>
    <w:rsid w:val="007F01ED"/>
    <w:rsid w:val="007F223A"/>
    <w:rsid w:val="007F3103"/>
    <w:rsid w:val="00807B39"/>
    <w:rsid w:val="00811F5E"/>
    <w:rsid w:val="00830200"/>
    <w:rsid w:val="008403D8"/>
    <w:rsid w:val="0085023D"/>
    <w:rsid w:val="008545C6"/>
    <w:rsid w:val="0085790C"/>
    <w:rsid w:val="00867C45"/>
    <w:rsid w:val="0087045B"/>
    <w:rsid w:val="008738A9"/>
    <w:rsid w:val="00873980"/>
    <w:rsid w:val="00883F40"/>
    <w:rsid w:val="00890983"/>
    <w:rsid w:val="0089131A"/>
    <w:rsid w:val="008A09D8"/>
    <w:rsid w:val="008A126C"/>
    <w:rsid w:val="008A2CA6"/>
    <w:rsid w:val="008A62A5"/>
    <w:rsid w:val="008C4A2A"/>
    <w:rsid w:val="008D03CA"/>
    <w:rsid w:val="00902667"/>
    <w:rsid w:val="00904E64"/>
    <w:rsid w:val="00910ADA"/>
    <w:rsid w:val="009115BA"/>
    <w:rsid w:val="009249CC"/>
    <w:rsid w:val="00930914"/>
    <w:rsid w:val="009317E9"/>
    <w:rsid w:val="0093457D"/>
    <w:rsid w:val="00960CF5"/>
    <w:rsid w:val="00965467"/>
    <w:rsid w:val="009659DE"/>
    <w:rsid w:val="009665D6"/>
    <w:rsid w:val="009730E6"/>
    <w:rsid w:val="00985460"/>
    <w:rsid w:val="0098621B"/>
    <w:rsid w:val="009A6996"/>
    <w:rsid w:val="009B35A8"/>
    <w:rsid w:val="009C7210"/>
    <w:rsid w:val="009F5DCF"/>
    <w:rsid w:val="00A1101D"/>
    <w:rsid w:val="00A11A2E"/>
    <w:rsid w:val="00A27716"/>
    <w:rsid w:val="00A328D3"/>
    <w:rsid w:val="00A448D0"/>
    <w:rsid w:val="00A45263"/>
    <w:rsid w:val="00A52C23"/>
    <w:rsid w:val="00A53B71"/>
    <w:rsid w:val="00A57CD0"/>
    <w:rsid w:val="00A62D84"/>
    <w:rsid w:val="00A7051D"/>
    <w:rsid w:val="00A7535A"/>
    <w:rsid w:val="00A90CB1"/>
    <w:rsid w:val="00AA1421"/>
    <w:rsid w:val="00AB4BD2"/>
    <w:rsid w:val="00AE1892"/>
    <w:rsid w:val="00AE6523"/>
    <w:rsid w:val="00AF200E"/>
    <w:rsid w:val="00AF3EFC"/>
    <w:rsid w:val="00AF6CAF"/>
    <w:rsid w:val="00B01488"/>
    <w:rsid w:val="00B053D0"/>
    <w:rsid w:val="00B06B8E"/>
    <w:rsid w:val="00B15355"/>
    <w:rsid w:val="00B219BA"/>
    <w:rsid w:val="00B230D2"/>
    <w:rsid w:val="00B30604"/>
    <w:rsid w:val="00B32E75"/>
    <w:rsid w:val="00B42524"/>
    <w:rsid w:val="00B6663A"/>
    <w:rsid w:val="00B913FC"/>
    <w:rsid w:val="00BC12B6"/>
    <w:rsid w:val="00BC385A"/>
    <w:rsid w:val="00BC42D2"/>
    <w:rsid w:val="00BE1685"/>
    <w:rsid w:val="00C04873"/>
    <w:rsid w:val="00C07A85"/>
    <w:rsid w:val="00C12195"/>
    <w:rsid w:val="00C15AEE"/>
    <w:rsid w:val="00C169DD"/>
    <w:rsid w:val="00C222C2"/>
    <w:rsid w:val="00C27298"/>
    <w:rsid w:val="00C37B3B"/>
    <w:rsid w:val="00C46E8C"/>
    <w:rsid w:val="00C50457"/>
    <w:rsid w:val="00C50F9D"/>
    <w:rsid w:val="00C71981"/>
    <w:rsid w:val="00C77B43"/>
    <w:rsid w:val="00CA2FC5"/>
    <w:rsid w:val="00CB6199"/>
    <w:rsid w:val="00CC2CD1"/>
    <w:rsid w:val="00CD1127"/>
    <w:rsid w:val="00CE0EF6"/>
    <w:rsid w:val="00CE1163"/>
    <w:rsid w:val="00CE4601"/>
    <w:rsid w:val="00CE5230"/>
    <w:rsid w:val="00CF6523"/>
    <w:rsid w:val="00D00FA9"/>
    <w:rsid w:val="00D04120"/>
    <w:rsid w:val="00D21B65"/>
    <w:rsid w:val="00D2308A"/>
    <w:rsid w:val="00D23D84"/>
    <w:rsid w:val="00D447AA"/>
    <w:rsid w:val="00D6408D"/>
    <w:rsid w:val="00D7609E"/>
    <w:rsid w:val="00D808B6"/>
    <w:rsid w:val="00D90014"/>
    <w:rsid w:val="00D916C1"/>
    <w:rsid w:val="00D95978"/>
    <w:rsid w:val="00DA201B"/>
    <w:rsid w:val="00DA397F"/>
    <w:rsid w:val="00DC4EE0"/>
    <w:rsid w:val="00DC6592"/>
    <w:rsid w:val="00DD4608"/>
    <w:rsid w:val="00DD5139"/>
    <w:rsid w:val="00DD544F"/>
    <w:rsid w:val="00DD641B"/>
    <w:rsid w:val="00DE4672"/>
    <w:rsid w:val="00DF181E"/>
    <w:rsid w:val="00DF1AB9"/>
    <w:rsid w:val="00E04FA8"/>
    <w:rsid w:val="00E11C20"/>
    <w:rsid w:val="00E26CF1"/>
    <w:rsid w:val="00E35EC3"/>
    <w:rsid w:val="00E43043"/>
    <w:rsid w:val="00E45411"/>
    <w:rsid w:val="00E51A63"/>
    <w:rsid w:val="00E6313C"/>
    <w:rsid w:val="00E8714D"/>
    <w:rsid w:val="00E87DFC"/>
    <w:rsid w:val="00E949B3"/>
    <w:rsid w:val="00E95768"/>
    <w:rsid w:val="00EE3545"/>
    <w:rsid w:val="00EF427F"/>
    <w:rsid w:val="00F15C36"/>
    <w:rsid w:val="00F25EEC"/>
    <w:rsid w:val="00F51B4F"/>
    <w:rsid w:val="00F631B1"/>
    <w:rsid w:val="00F651B2"/>
    <w:rsid w:val="00F770B4"/>
    <w:rsid w:val="00FA1B83"/>
    <w:rsid w:val="00FB15DC"/>
    <w:rsid w:val="00FC0491"/>
    <w:rsid w:val="00FC6E45"/>
    <w:rsid w:val="00FC7509"/>
    <w:rsid w:val="00FD35A7"/>
    <w:rsid w:val="00FD44AF"/>
    <w:rsid w:val="00FD59B7"/>
    <w:rsid w:val="00FE0328"/>
    <w:rsid w:val="00FF1CD8"/>
    <w:rsid w:val="02857CD0"/>
    <w:rsid w:val="04C3623D"/>
    <w:rsid w:val="08242828"/>
    <w:rsid w:val="115E2BC8"/>
    <w:rsid w:val="1D6D06D6"/>
    <w:rsid w:val="1EBF216B"/>
    <w:rsid w:val="1FA84518"/>
    <w:rsid w:val="24825FCA"/>
    <w:rsid w:val="2491089E"/>
    <w:rsid w:val="2591470C"/>
    <w:rsid w:val="25DA3E2E"/>
    <w:rsid w:val="26CC5562"/>
    <w:rsid w:val="27FC63EC"/>
    <w:rsid w:val="2B2A1A6C"/>
    <w:rsid w:val="2EC4203A"/>
    <w:rsid w:val="30A816B8"/>
    <w:rsid w:val="312268B8"/>
    <w:rsid w:val="3A0559CD"/>
    <w:rsid w:val="3DE95828"/>
    <w:rsid w:val="40E54179"/>
    <w:rsid w:val="413F018F"/>
    <w:rsid w:val="424B06BF"/>
    <w:rsid w:val="439D5A62"/>
    <w:rsid w:val="47DF4087"/>
    <w:rsid w:val="4C9E0C9C"/>
    <w:rsid w:val="4CE8731C"/>
    <w:rsid w:val="4DC818B8"/>
    <w:rsid w:val="4DDA32BF"/>
    <w:rsid w:val="5338169A"/>
    <w:rsid w:val="55692EDC"/>
    <w:rsid w:val="578A59BE"/>
    <w:rsid w:val="5AA011D0"/>
    <w:rsid w:val="5D9F6ACB"/>
    <w:rsid w:val="5EF77D3A"/>
    <w:rsid w:val="60D81C2B"/>
    <w:rsid w:val="64B86BA2"/>
    <w:rsid w:val="66C10305"/>
    <w:rsid w:val="68FF0BEA"/>
    <w:rsid w:val="6D064FAF"/>
    <w:rsid w:val="72046654"/>
    <w:rsid w:val="74FB1D3A"/>
    <w:rsid w:val="77E51BC4"/>
    <w:rsid w:val="7AE20A93"/>
    <w:rsid w:val="7E596C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2"/>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9">
    <w:name w:val="页眉 字符"/>
    <w:link w:val="5"/>
    <w:qFormat/>
    <w:uiPriority w:val="99"/>
    <w:rPr>
      <w:kern w:val="2"/>
      <w:sz w:val="18"/>
      <w:szCs w:val="18"/>
    </w:rPr>
  </w:style>
  <w:style w:type="character" w:customStyle="1" w:styleId="10">
    <w:name w:val="页脚 字符"/>
    <w:link w:val="4"/>
    <w:qFormat/>
    <w:uiPriority w:val="99"/>
    <w:rPr>
      <w:kern w:val="2"/>
      <w:sz w:val="18"/>
      <w:szCs w:val="18"/>
    </w:rPr>
  </w:style>
  <w:style w:type="character" w:customStyle="1" w:styleId="11">
    <w:name w:val="标题 1 字符"/>
    <w:link w:val="2"/>
    <w:qFormat/>
    <w:uiPriority w:val="9"/>
    <w:rPr>
      <w:b/>
      <w:bCs/>
      <w:kern w:val="44"/>
      <w:sz w:val="44"/>
      <w:szCs w:val="44"/>
    </w:rPr>
  </w:style>
  <w:style w:type="character" w:customStyle="1" w:styleId="12">
    <w:name w:val="批注框文本 字符"/>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A9C29D-4BE3-462B-AAC1-C9A11C3E69EF}">
  <ds:schemaRefs/>
</ds:datastoreItem>
</file>

<file path=docProps/app.xml><?xml version="1.0" encoding="utf-8"?>
<Properties xmlns="http://schemas.openxmlformats.org/officeDocument/2006/extended-properties" xmlns:vt="http://schemas.openxmlformats.org/officeDocument/2006/docPropsVTypes">
  <Template>Normal.dotm</Template>
  <Pages>1</Pages>
  <Words>57</Words>
  <Characters>330</Characters>
  <Lines>2</Lines>
  <Paragraphs>1</Paragraphs>
  <TotalTime>5</TotalTime>
  <ScaleCrop>false</ScaleCrop>
  <LinksUpToDate>false</LinksUpToDate>
  <CharactersWithSpaces>386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2020-02-21T03:58:00Z</dcterms:created>
  <dc:creator>limingcui</dc:creator>
  <cp:lastModifiedBy>詹显明</cp:lastModifiedBy>
  <dcterms:modified xsi:type="dcterms:W3CDTF">2020-08-05T01:20:35Z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